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1002" w:hRule="atLeast"/>
          <w:tblHeader w:val="0"/>
        </w:trPr>
        <w:tc>
          <w:tcPr>
            <w:tcBorders>
              <w:bottom w:color="4f81bd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Příloha k účetní závěrce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4f81bd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Korporace ED</w:t>
            </w: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UA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Group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s.r.o.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Období 01. 09. 202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– 31. 08. 202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Obsah přílohy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Podle § 39 vyhlášky č. 500/2002 Sb.:</w:t>
      </w:r>
    </w:p>
    <w:p w:rsidR="00000000" w:rsidDel="00000000" w:rsidP="00000000" w:rsidRDefault="00000000" w:rsidRPr="00000000" w14:paraId="00000014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0"/>
              <w:tab w:val="right" w:leader="none" w:pos="9062"/>
            </w:tabs>
            <w:spacing w:after="1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\n \t "Heading 1,1,"</w:instrText>
            <w:fldChar w:fldCharType="separate"/>
          </w:r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Popis účetní jednotky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0"/>
              <w:tab w:val="right" w:leader="none" w:pos="9062"/>
            </w:tabs>
            <w:spacing w:after="1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Použité obecné účetní zásady, účetní metody a odchylky od těchto metod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0"/>
              <w:tab w:val="right" w:leader="none" w:pos="9062"/>
            </w:tabs>
            <w:spacing w:after="1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heading=h.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hyperlink w:anchor="_heading=h.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Informace k položkám závazkových vztahů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0"/>
              <w:tab w:val="right" w:leader="none" w:pos="9062"/>
            </w:tabs>
            <w:spacing w:after="1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Průměrný počet zaměstnanců v průběhu účetního období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0"/>
              <w:tab w:val="right" w:leader="none" w:pos="9062"/>
            </w:tabs>
            <w:spacing w:after="1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Významné události mezi rozvahovým dnem a okamžikem sestavení účetní závěrky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0"/>
              <w:tab w:val="right" w:leader="none" w:pos="9062"/>
            </w:tabs>
            <w:spacing w:after="1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Popis účetní jednotky</w:t>
      </w:r>
    </w:p>
    <w:p w:rsidR="00000000" w:rsidDel="00000000" w:rsidP="00000000" w:rsidRDefault="00000000" w:rsidRPr="00000000" w14:paraId="00000024">
      <w:pPr>
        <w:spacing w:after="0" w:line="240" w:lineRule="auto"/>
        <w:ind w:left="70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08" w:firstLine="0"/>
        <w:rPr/>
      </w:pPr>
      <w:r w:rsidDel="00000000" w:rsidR="00000000" w:rsidRPr="00000000">
        <w:rPr>
          <w:b w:val="1"/>
          <w:rtl w:val="0"/>
        </w:rPr>
        <w:t xml:space="preserve">Název</w:t>
      </w:r>
      <w:r w:rsidDel="00000000" w:rsidR="00000000" w:rsidRPr="00000000">
        <w:rPr>
          <w:rtl w:val="0"/>
        </w:rPr>
        <w:t xml:space="preserve">: </w:t>
        <w:tab/>
        <w:tab/>
        <w:tab/>
        <w:tab/>
        <w:tab/>
        <w:t xml:space="preserve">EDUA Group s.r.o.</w:t>
      </w:r>
    </w:p>
    <w:p w:rsidR="00000000" w:rsidDel="00000000" w:rsidP="00000000" w:rsidRDefault="00000000" w:rsidRPr="00000000" w14:paraId="00000026">
      <w:pPr>
        <w:spacing w:after="0" w:line="240" w:lineRule="auto"/>
        <w:ind w:left="708" w:firstLine="0"/>
        <w:rPr/>
      </w:pPr>
      <w:r w:rsidDel="00000000" w:rsidR="00000000" w:rsidRPr="00000000">
        <w:rPr>
          <w:b w:val="1"/>
          <w:rtl w:val="0"/>
        </w:rPr>
        <w:t xml:space="preserve">Sídlo</w:t>
      </w:r>
      <w:r w:rsidDel="00000000" w:rsidR="00000000" w:rsidRPr="00000000">
        <w:rPr>
          <w:rtl w:val="0"/>
        </w:rPr>
        <w:t xml:space="preserve">: </w:t>
        <w:tab/>
        <w:tab/>
        <w:tab/>
        <w:tab/>
        <w:tab/>
        <w:t xml:space="preserve">Národní 416/37, 110 00  Praha 1</w:t>
      </w:r>
    </w:p>
    <w:p w:rsidR="00000000" w:rsidDel="00000000" w:rsidP="00000000" w:rsidRDefault="00000000" w:rsidRPr="00000000" w14:paraId="00000027">
      <w:pPr>
        <w:spacing w:after="0" w:line="240" w:lineRule="auto"/>
        <w:ind w:left="708" w:firstLine="0"/>
        <w:rPr/>
      </w:pPr>
      <w:r w:rsidDel="00000000" w:rsidR="00000000" w:rsidRPr="00000000">
        <w:rPr>
          <w:b w:val="1"/>
          <w:rtl w:val="0"/>
        </w:rPr>
        <w:t xml:space="preserve">Právní forma</w:t>
      </w:r>
      <w:r w:rsidDel="00000000" w:rsidR="00000000" w:rsidRPr="00000000">
        <w:rPr>
          <w:rtl w:val="0"/>
        </w:rPr>
        <w:t xml:space="preserve">: </w:t>
        <w:tab/>
        <w:tab/>
        <w:tab/>
        <w:tab/>
      </w:r>
    </w:p>
    <w:p w:rsidR="00000000" w:rsidDel="00000000" w:rsidP="00000000" w:rsidRDefault="00000000" w:rsidRPr="00000000" w14:paraId="00000028">
      <w:pPr>
        <w:spacing w:after="0" w:line="240" w:lineRule="auto"/>
        <w:ind w:left="708" w:firstLine="0"/>
        <w:rPr/>
      </w:pPr>
      <w:r w:rsidDel="00000000" w:rsidR="00000000" w:rsidRPr="00000000">
        <w:rPr>
          <w:b w:val="1"/>
          <w:rtl w:val="0"/>
        </w:rPr>
        <w:t xml:space="preserve">IČ</w:t>
      </w:r>
      <w:r w:rsidDel="00000000" w:rsidR="00000000" w:rsidRPr="00000000">
        <w:rPr>
          <w:rtl w:val="0"/>
        </w:rPr>
        <w:t xml:space="preserve">:</w:t>
        <w:tab/>
        <w:tab/>
        <w:tab/>
        <w:tab/>
        <w:tab/>
        <w:t xml:space="preserve">05259941</w:t>
      </w:r>
    </w:p>
    <w:p w:rsidR="00000000" w:rsidDel="00000000" w:rsidP="00000000" w:rsidRDefault="00000000" w:rsidRPr="00000000" w14:paraId="00000029">
      <w:pPr>
        <w:spacing w:after="0" w:line="240" w:lineRule="auto"/>
        <w:ind w:left="708" w:firstLine="0"/>
        <w:rPr/>
      </w:pPr>
      <w:r w:rsidDel="00000000" w:rsidR="00000000" w:rsidRPr="00000000">
        <w:rPr>
          <w:b w:val="1"/>
          <w:rtl w:val="0"/>
        </w:rPr>
        <w:t xml:space="preserve">Společník</w:t>
      </w:r>
      <w:r w:rsidDel="00000000" w:rsidR="00000000" w:rsidRPr="00000000">
        <w:rPr>
          <w:rtl w:val="0"/>
        </w:rPr>
        <w:t xml:space="preserve">:</w:t>
        <w:tab/>
        <w:tab/>
        <w:tab/>
        <w:tab/>
        <w:t xml:space="preserve">Solotron s.r.o. IČ 24236616</w:t>
      </w:r>
    </w:p>
    <w:p w:rsidR="00000000" w:rsidDel="00000000" w:rsidP="00000000" w:rsidRDefault="00000000" w:rsidRPr="00000000" w14:paraId="0000002A">
      <w:pPr>
        <w:spacing w:after="0" w:line="240" w:lineRule="auto"/>
        <w:ind w:left="4248" w:hanging="3540"/>
        <w:rPr/>
      </w:pPr>
      <w:r w:rsidDel="00000000" w:rsidR="00000000" w:rsidRPr="00000000">
        <w:rPr>
          <w:b w:val="1"/>
          <w:rtl w:val="0"/>
        </w:rPr>
        <w:t xml:space="preserve">Předmět podnikání</w:t>
      </w:r>
      <w:r w:rsidDel="00000000" w:rsidR="00000000" w:rsidRPr="00000000">
        <w:rPr>
          <w:rtl w:val="0"/>
        </w:rPr>
        <w:t xml:space="preserve">:</w:t>
        <w:tab/>
        <w:t xml:space="preserve">Ostatní profesní a vědecké činnosti</w:t>
      </w:r>
    </w:p>
    <w:p w:rsidR="00000000" w:rsidDel="00000000" w:rsidP="00000000" w:rsidRDefault="00000000" w:rsidRPr="00000000" w14:paraId="0000002B">
      <w:pPr>
        <w:spacing w:after="0" w:line="240" w:lineRule="auto"/>
        <w:ind w:left="708" w:firstLine="0"/>
        <w:rPr/>
      </w:pPr>
      <w:r w:rsidDel="00000000" w:rsidR="00000000" w:rsidRPr="00000000">
        <w:rPr>
          <w:b w:val="1"/>
          <w:rtl w:val="0"/>
        </w:rPr>
        <w:t xml:space="preserve">Den vzniku účetní jednotky</w:t>
      </w:r>
      <w:r w:rsidDel="00000000" w:rsidR="00000000" w:rsidRPr="00000000">
        <w:rPr>
          <w:rtl w:val="0"/>
        </w:rPr>
        <w:t xml:space="preserve">: </w:t>
        <w:tab/>
        <w:tab/>
        <w:t xml:space="preserve">27. 7. 2016</w:t>
      </w:r>
    </w:p>
    <w:p w:rsidR="00000000" w:rsidDel="00000000" w:rsidP="00000000" w:rsidRDefault="00000000" w:rsidRPr="00000000" w14:paraId="0000002C">
      <w:pPr>
        <w:spacing w:after="0" w:line="240" w:lineRule="auto"/>
        <w:ind w:left="708" w:firstLine="0"/>
        <w:rPr/>
      </w:pPr>
      <w:r w:rsidDel="00000000" w:rsidR="00000000" w:rsidRPr="00000000">
        <w:rPr>
          <w:b w:val="1"/>
          <w:rtl w:val="0"/>
        </w:rPr>
        <w:t xml:space="preserve">Zdaňovací období</w:t>
      </w:r>
      <w:r w:rsidDel="00000000" w:rsidR="00000000" w:rsidRPr="00000000">
        <w:rPr>
          <w:rtl w:val="0"/>
        </w:rPr>
        <w:t xml:space="preserve">: </w:t>
        <w:tab/>
        <w:tab/>
        <w:tab/>
        <w:t xml:space="preserve">od 01. 09. 2023 do 31. 08. 2024</w:t>
      </w:r>
    </w:p>
    <w:p w:rsidR="00000000" w:rsidDel="00000000" w:rsidP="00000000" w:rsidRDefault="00000000" w:rsidRPr="00000000" w14:paraId="0000002D">
      <w:pPr>
        <w:spacing w:after="0" w:line="240" w:lineRule="auto"/>
        <w:ind w:left="708" w:firstLine="0"/>
        <w:rPr/>
      </w:pPr>
      <w:r w:rsidDel="00000000" w:rsidR="00000000" w:rsidRPr="00000000">
        <w:rPr>
          <w:b w:val="1"/>
          <w:rtl w:val="0"/>
        </w:rPr>
        <w:t xml:space="preserve">Rozvahový den</w:t>
      </w:r>
      <w:r w:rsidDel="00000000" w:rsidR="00000000" w:rsidRPr="00000000">
        <w:rPr>
          <w:rtl w:val="0"/>
        </w:rPr>
        <w:t xml:space="preserve">: </w:t>
        <w:tab/>
        <w:tab/>
        <w:tab/>
        <w:t xml:space="preserve">31. 08. 2024</w:t>
      </w:r>
    </w:p>
    <w:p w:rsidR="00000000" w:rsidDel="00000000" w:rsidP="00000000" w:rsidRDefault="00000000" w:rsidRPr="00000000" w14:paraId="0000002E">
      <w:pPr>
        <w:spacing w:after="0" w:line="240" w:lineRule="auto"/>
        <w:ind w:left="708" w:firstLine="0"/>
        <w:rPr/>
      </w:pPr>
      <w:r w:rsidDel="00000000" w:rsidR="00000000" w:rsidRPr="00000000">
        <w:rPr>
          <w:b w:val="1"/>
          <w:rtl w:val="0"/>
        </w:rPr>
        <w:t xml:space="preserve">Okamžik sestavení účetní závěrky</w:t>
      </w:r>
      <w:r w:rsidDel="00000000" w:rsidR="00000000" w:rsidRPr="00000000">
        <w:rPr>
          <w:rtl w:val="0"/>
        </w:rPr>
        <w:t xml:space="preserve">:</w:t>
        <w:tab/>
        <w:t xml:space="preserve">10. 2. 2025</w:t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Použité obecné účetní zásady, účetní metody a odchylky od těchto metod</w:t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4" w:right="0" w:hanging="62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Použité obecné účetní zásady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Předkládaná účetní závěrka společnosti byla zpracována na základě zákona č. 563/1991 Sb., o účetnictví a na základě opatření Ministerstva financí ČR, kterými se stanoví postupy účtování a obsah účetní závěrky pro podnikatele.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4" w:right="0" w:hanging="62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Způsob oceňování majetku a závazků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Nakupované zásoby jsou oceňovány pořizovacími cenami. Účetní jednotka účtuje podle obecných účetních zásad vedení účetnictví podnikatelů dle varianty B.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Investiční majetek je oceňován pořizovacími cenami.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Závazky jsou oceňovány jmenovitou hodnotou.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4" w:right="0" w:hanging="62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Způsob přepočtu údajů v cizích měnách na českou měnu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Při přepočtu cizích měn na českou měnu používá společnost kurz stanovený ČNB pro daný den účetní transakce. Ke dni účetní závěrky jsou položky aktiv a pasiv v cizích měnách přepočítávány kurzem dle ČNB k poslednímu dni účetního období.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Informace k položkám závazkových vztahů </w:t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right" w:leader="none" w:pos="5954"/>
        </w:tabs>
        <w:ind w:left="357" w:firstLine="0"/>
        <w:rPr/>
      </w:pPr>
      <w:r w:rsidDel="00000000" w:rsidR="00000000" w:rsidRPr="00000000">
        <w:rPr>
          <w:rtl w:val="0"/>
        </w:rPr>
        <w:t xml:space="preserve">- pohledávky z obchodních vztahů (kr. + dl.)</w:t>
        <w:tab/>
        <w:t xml:space="preserve">       33 762 tis. Kč </w:t>
      </w:r>
    </w:p>
    <w:p w:rsidR="00000000" w:rsidDel="00000000" w:rsidP="00000000" w:rsidRDefault="00000000" w:rsidRPr="00000000" w14:paraId="00000050">
      <w:pPr>
        <w:tabs>
          <w:tab w:val="right" w:leader="none" w:pos="5954"/>
        </w:tabs>
        <w:ind w:left="357" w:firstLine="0"/>
        <w:rPr/>
      </w:pPr>
      <w:r w:rsidDel="00000000" w:rsidR="00000000" w:rsidRPr="00000000">
        <w:rPr>
          <w:rtl w:val="0"/>
        </w:rPr>
        <w:t xml:space="preserve">- závazky z obchodních vztahů </w:t>
        <w:tab/>
        <w:t xml:space="preserve">       1 953 tis. Kč</w:t>
      </w:r>
    </w:p>
    <w:p w:rsidR="00000000" w:rsidDel="00000000" w:rsidP="00000000" w:rsidRDefault="00000000" w:rsidRPr="00000000" w14:paraId="0000005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Průměrný počet zaměstnanců v průběhu účetního období </w:t>
      </w:r>
    </w:p>
    <w:p w:rsidR="00000000" w:rsidDel="00000000" w:rsidP="00000000" w:rsidRDefault="00000000" w:rsidRPr="00000000" w14:paraId="0000005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Průměrný přepočtený počet zaměstnanců</w:t>
        <w:tab/>
        <w:tab/>
        <w:tab/>
        <w:t xml:space="preserve">16,71</w:t>
      </w:r>
    </w:p>
    <w:p w:rsidR="00000000" w:rsidDel="00000000" w:rsidP="00000000" w:rsidRDefault="00000000" w:rsidRPr="00000000" w14:paraId="0000005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Významné události mezi rozvahovým dnem a okamžikem sestavení účetní závěrky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Od data rozvahové dne ke dni sestavení účetní závěrky nenastaly žádné významné skutečnosti, které by měly vliv na účetní jednotku a na její hospodaření.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Sestaveno dne: 10. 2. 2025</w:t>
        <w:tab/>
        <w:tab/>
        <w:tab/>
        <w:tab/>
        <w:tab/>
        <w:tab/>
        <w:t xml:space="preserve">    Ing. Vladimír Schmalz</w:t>
      </w:r>
    </w:p>
    <w:p w:rsidR="00000000" w:rsidDel="00000000" w:rsidP="00000000" w:rsidRDefault="00000000" w:rsidRPr="00000000" w14:paraId="0000006D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           jednatel</w:t>
      </w:r>
    </w:p>
    <w:p w:rsidR="00000000" w:rsidDel="00000000" w:rsidP="00000000" w:rsidRDefault="00000000" w:rsidRPr="00000000" w14:paraId="0000006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2580"/>
        <w:tab w:val="left" w:leader="none" w:pos="2985"/>
      </w:tabs>
      <w:spacing w:after="12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Příloha v účetní závěrce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2580"/>
        <w:tab w:val="left" w:leader="none" w:pos="2985"/>
      </w:tabs>
      <w:spacing w:after="12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Korporace EDU</w:t>
    </w:r>
    <w:r w:rsidDel="00000000" w:rsidR="00000000" w:rsidRPr="00000000">
      <w:rPr>
        <w:sz w:val="18"/>
        <w:szCs w:val="18"/>
        <w:rtl w:val="0"/>
      </w:rPr>
      <w:t xml:space="preserve">A Group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s.r.o.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color="a5a5a5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2580"/>
        <w:tab w:val="left" w:leader="none" w:pos="2985"/>
      </w:tabs>
      <w:spacing w:after="12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Za období 01. 09. 202</w:t>
    </w:r>
    <w:r w:rsidDel="00000000" w:rsidR="00000000" w:rsidRPr="00000000">
      <w:rPr>
        <w:sz w:val="18"/>
        <w:szCs w:val="18"/>
        <w:rtl w:val="0"/>
      </w:rPr>
      <w:t xml:space="preserve">3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- 31. 08. 202</w:t>
    </w:r>
    <w:r w:rsidDel="00000000" w:rsidR="00000000" w:rsidRPr="00000000">
      <w:rPr>
        <w:sz w:val="18"/>
        <w:szCs w:val="18"/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624" w:hanging="624"/>
      </w:pPr>
      <w:rPr>
        <w:b w:val="1"/>
      </w:rPr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line="240" w:lineRule="auto"/>
      <w:ind w:left="360" w:hanging="360"/>
    </w:pPr>
    <w:rPr>
      <w:b w:val="1"/>
    </w:rPr>
  </w:style>
  <w:style w:type="paragraph" w:styleId="Heading2">
    <w:name w:val="heading 2"/>
    <w:basedOn w:val="Normal"/>
    <w:next w:val="Normal"/>
    <w:pPr>
      <w:spacing w:after="0" w:line="240" w:lineRule="auto"/>
      <w:ind w:left="624" w:hanging="624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line="240" w:lineRule="auto"/>
      <w:ind w:left="360" w:hanging="360"/>
    </w:pPr>
    <w:rPr>
      <w:b w:val="1"/>
    </w:rPr>
  </w:style>
  <w:style w:type="paragraph" w:styleId="Heading2">
    <w:name w:val="heading 2"/>
    <w:basedOn w:val="Normal"/>
    <w:next w:val="Normal"/>
    <w:pPr>
      <w:spacing w:after="0" w:line="240" w:lineRule="auto"/>
      <w:ind w:left="624" w:hanging="624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suppressAutoHyphens w:val="1"/>
    </w:pPr>
  </w:style>
  <w:style w:type="paragraph" w:styleId="Nadpis1">
    <w:name w:val="heading 1"/>
    <w:basedOn w:val="Odstavecseseznamem"/>
    <w:next w:val="Normln"/>
    <w:pPr>
      <w:numPr>
        <w:numId w:val="1"/>
      </w:numPr>
      <w:autoSpaceDE w:val="0"/>
      <w:spacing w:after="0" w:line="240" w:lineRule="auto"/>
      <w:outlineLvl w:val="0"/>
    </w:pPr>
    <w:rPr>
      <w:rFonts w:cs="Calibri"/>
      <w:b w:val="1"/>
      <w:bCs w:val="1"/>
    </w:rPr>
  </w:style>
  <w:style w:type="paragraph" w:styleId="Nadpis2">
    <w:name w:val="heading 2"/>
    <w:basedOn w:val="Odstavecseseznamem"/>
    <w:next w:val="Normln"/>
    <w:pPr>
      <w:numPr>
        <w:ilvl w:val="1"/>
        <w:numId w:val="1"/>
      </w:numPr>
      <w:autoSpaceDE w:val="0"/>
      <w:spacing w:after="0" w:line="240" w:lineRule="auto"/>
      <w:outlineLvl w:val="1"/>
    </w:pPr>
    <w:rPr>
      <w:rFonts w:cs="Calibri"/>
      <w:b w:val="1"/>
      <w:bCs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numbering" w:styleId="WWOutlineListStyle31" w:customStyle="1">
    <w:name w:val="WW_OutlineListStyle_31"/>
    <w:basedOn w:val="Bezseznamu"/>
    <w:pPr>
      <w:numPr>
        <w:numId w:val="1"/>
      </w:numPr>
    </w:pPr>
  </w:style>
  <w:style w:type="paragraph" w:styleId="Obsah1">
    <w:name w:val="toc 1"/>
    <w:basedOn w:val="Normln"/>
    <w:next w:val="Normln"/>
    <w:autoRedefine w:val="1"/>
    <w:uiPriority w:val="39"/>
    <w:pPr>
      <w:tabs>
        <w:tab w:val="left" w:pos="660"/>
        <w:tab w:val="right" w:leader="dot" w:pos="9062"/>
      </w:tabs>
      <w:spacing w:after="100"/>
    </w:pPr>
    <w:rPr>
      <w:sz w:val="18"/>
      <w:szCs w:val="18"/>
    </w:rPr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Tahoma" w:eastAsia="MS Mincho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cs="Tahoma" w:eastAsia="Tahoma" w:hAnsi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 w:val="1"/>
      <w:spacing w:after="0" w:line="240" w:lineRule="auto"/>
    </w:pPr>
  </w:style>
  <w:style w:type="paragraph" w:styleId="ContentsHeading" w:customStyle="1">
    <w:name w:val="Contents Heading"/>
    <w:basedOn w:val="Nadpis1"/>
    <w:next w:val="Normln"/>
    <w:pPr>
      <w:keepNext w:val="1"/>
      <w:keepLines w:val="1"/>
      <w:numPr>
        <w:numId w:val="0"/>
      </w:numPr>
      <w:autoSpaceDE w:val="1"/>
      <w:spacing w:after="200" w:before="480" w:line="276" w:lineRule="auto"/>
    </w:pPr>
    <w:rPr>
      <w:rFonts w:ascii="Cambria" w:cs="Times New Roman" w:eastAsia="Times New Roman" w:hAnsi="Cambria"/>
      <w:color w:val="365f91"/>
      <w:sz w:val="28"/>
      <w:szCs w:val="28"/>
      <w:lang w:eastAsia="cs-CZ"/>
    </w:rPr>
  </w:style>
  <w:style w:type="paragraph" w:styleId="Index" w:customStyle="1">
    <w:name w:val="Index"/>
    <w:basedOn w:val="Standard"/>
    <w:pPr>
      <w:suppressLineNumbers w:val="1"/>
    </w:pPr>
  </w:style>
  <w:style w:type="paragraph" w:styleId="Contents1" w:customStyle="1">
    <w:name w:val="Contents 1"/>
    <w:basedOn w:val="Normln"/>
    <w:next w:val="Normln"/>
    <w:autoRedefine w:val="1"/>
    <w:pPr>
      <w:tabs>
        <w:tab w:val="left" w:pos="567"/>
        <w:tab w:val="right" w:leader="dot" w:pos="9062"/>
      </w:tabs>
      <w:spacing w:after="100" w:line="240" w:lineRule="auto"/>
    </w:pPr>
    <w:rPr>
      <w:sz w:val="18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ZhlavChar" w:customStyle="1">
    <w:name w:val="Záhlaví Char"/>
    <w:basedOn w:val="Standardnpsmoodstavce"/>
  </w:style>
  <w:style w:type="character" w:styleId="ZpatChar" w:customStyle="1">
    <w:name w:val="Zápatí Char"/>
    <w:basedOn w:val="Standardnpsmoodstavce"/>
  </w:style>
  <w:style w:type="character" w:styleId="TextbublinyChar" w:customStyle="1">
    <w:name w:val="Text bubliny Char"/>
    <w:basedOn w:val="Standardnpsmoodstavce"/>
    <w:rPr>
      <w:rFonts w:ascii="Tahoma" w:cs="Tahoma" w:eastAsia="Tahoma" w:hAnsi="Tahoma"/>
      <w:sz w:val="16"/>
      <w:szCs w:val="16"/>
    </w:rPr>
  </w:style>
  <w:style w:type="character" w:styleId="Nadpis1Char" w:customStyle="1">
    <w:name w:val="Nadpis 1 Char"/>
    <w:basedOn w:val="Standardnpsmoodstavce"/>
    <w:rPr>
      <w:rFonts w:cs="Calibri"/>
      <w:b w:val="1"/>
      <w:bCs w:val="1"/>
    </w:rPr>
  </w:style>
  <w:style w:type="character" w:styleId="Nadpis2Char" w:customStyle="1">
    <w:name w:val="Nadpis 2 Char"/>
    <w:basedOn w:val="Standardnpsmoodstavce"/>
    <w:rPr>
      <w:rFonts w:cs="Calibri"/>
      <w:b w:val="1"/>
      <w:bCs w:val="1"/>
    </w:rPr>
  </w:style>
  <w:style w:type="character" w:styleId="BezmezerChar" w:customStyle="1">
    <w:name w:val="Bez mezer Char"/>
    <w:basedOn w:val="Standardnpsmoodstavce"/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numbering" w:styleId="WWOutlineListStyle30" w:customStyle="1">
    <w:name w:val="WW_OutlineListStyle_30"/>
    <w:basedOn w:val="Bezseznamu"/>
    <w:pPr>
      <w:numPr>
        <w:numId w:val="2"/>
      </w:numPr>
    </w:pPr>
  </w:style>
  <w:style w:type="numbering" w:styleId="WWOutlineListStyle29" w:customStyle="1">
    <w:name w:val="WW_OutlineListStyle_29"/>
    <w:basedOn w:val="Bezseznamu"/>
    <w:pPr>
      <w:numPr>
        <w:numId w:val="3"/>
      </w:numPr>
    </w:pPr>
  </w:style>
  <w:style w:type="numbering" w:styleId="WWOutlineListStyle28" w:customStyle="1">
    <w:name w:val="WW_OutlineListStyle_28"/>
    <w:basedOn w:val="Bezseznamu"/>
    <w:pPr>
      <w:numPr>
        <w:numId w:val="4"/>
      </w:numPr>
    </w:pPr>
  </w:style>
  <w:style w:type="numbering" w:styleId="WWOutlineListStyle27" w:customStyle="1">
    <w:name w:val="WW_OutlineListStyle_27"/>
    <w:basedOn w:val="Bezseznamu"/>
    <w:pPr>
      <w:numPr>
        <w:numId w:val="5"/>
      </w:numPr>
    </w:pPr>
  </w:style>
  <w:style w:type="numbering" w:styleId="WWOutlineListStyle26" w:customStyle="1">
    <w:name w:val="WW_OutlineListStyle_26"/>
    <w:basedOn w:val="Bezseznamu"/>
    <w:pPr>
      <w:numPr>
        <w:numId w:val="6"/>
      </w:numPr>
    </w:pPr>
  </w:style>
  <w:style w:type="numbering" w:styleId="WWOutlineListStyle25" w:customStyle="1">
    <w:name w:val="WW_OutlineListStyle_25"/>
    <w:basedOn w:val="Bezseznamu"/>
    <w:pPr>
      <w:numPr>
        <w:numId w:val="7"/>
      </w:numPr>
    </w:pPr>
  </w:style>
  <w:style w:type="numbering" w:styleId="WWOutlineListStyle24" w:customStyle="1">
    <w:name w:val="WW_OutlineListStyle_24"/>
    <w:basedOn w:val="Bezseznamu"/>
    <w:pPr>
      <w:numPr>
        <w:numId w:val="8"/>
      </w:numPr>
    </w:pPr>
  </w:style>
  <w:style w:type="numbering" w:styleId="WWOutlineListStyle23" w:customStyle="1">
    <w:name w:val="WW_OutlineListStyle_23"/>
    <w:basedOn w:val="Bezseznamu"/>
    <w:pPr>
      <w:numPr>
        <w:numId w:val="9"/>
      </w:numPr>
    </w:pPr>
  </w:style>
  <w:style w:type="numbering" w:styleId="WWOutlineListStyle22" w:customStyle="1">
    <w:name w:val="WW_OutlineListStyle_22"/>
    <w:basedOn w:val="Bezseznamu"/>
    <w:pPr>
      <w:numPr>
        <w:numId w:val="10"/>
      </w:numPr>
    </w:pPr>
  </w:style>
  <w:style w:type="numbering" w:styleId="WWOutlineListStyle21" w:customStyle="1">
    <w:name w:val="WW_OutlineListStyle_21"/>
    <w:basedOn w:val="Bezseznamu"/>
    <w:pPr>
      <w:numPr>
        <w:numId w:val="11"/>
      </w:numPr>
    </w:pPr>
  </w:style>
  <w:style w:type="numbering" w:styleId="WWOutlineListStyle20" w:customStyle="1">
    <w:name w:val="WW_OutlineListStyle_20"/>
    <w:basedOn w:val="Bezseznamu"/>
    <w:pPr>
      <w:numPr>
        <w:numId w:val="12"/>
      </w:numPr>
    </w:pPr>
  </w:style>
  <w:style w:type="numbering" w:styleId="WWOutlineListStyle19" w:customStyle="1">
    <w:name w:val="WW_OutlineListStyle_19"/>
    <w:basedOn w:val="Bezseznamu"/>
    <w:pPr>
      <w:numPr>
        <w:numId w:val="13"/>
      </w:numPr>
    </w:pPr>
  </w:style>
  <w:style w:type="numbering" w:styleId="WWOutlineListStyle18" w:customStyle="1">
    <w:name w:val="WW_OutlineListStyle_18"/>
    <w:basedOn w:val="Bezseznamu"/>
    <w:pPr>
      <w:numPr>
        <w:numId w:val="14"/>
      </w:numPr>
    </w:pPr>
  </w:style>
  <w:style w:type="numbering" w:styleId="WWOutlineListStyle17" w:customStyle="1">
    <w:name w:val="WW_OutlineListStyle_17"/>
    <w:basedOn w:val="Bezseznamu"/>
    <w:pPr>
      <w:numPr>
        <w:numId w:val="15"/>
      </w:numPr>
    </w:pPr>
  </w:style>
  <w:style w:type="numbering" w:styleId="Outline" w:customStyle="1">
    <w:name w:val="Outline"/>
    <w:basedOn w:val="Bezseznamu"/>
    <w:pPr>
      <w:numPr>
        <w:numId w:val="16"/>
      </w:numPr>
    </w:pPr>
  </w:style>
  <w:style w:type="numbering" w:styleId="WWOutlineListStyle16" w:customStyle="1">
    <w:name w:val="WW_OutlineListStyle_16"/>
    <w:basedOn w:val="Bezseznamu"/>
    <w:pPr>
      <w:numPr>
        <w:numId w:val="17"/>
      </w:numPr>
    </w:pPr>
  </w:style>
  <w:style w:type="numbering" w:styleId="WWOutlineListStyle15" w:customStyle="1">
    <w:name w:val="WW_OutlineListStyle_15"/>
    <w:basedOn w:val="Bezseznamu"/>
    <w:pPr>
      <w:numPr>
        <w:numId w:val="18"/>
      </w:numPr>
    </w:pPr>
  </w:style>
  <w:style w:type="numbering" w:styleId="WWOutlineListStyle14" w:customStyle="1">
    <w:name w:val="WW_OutlineListStyle_14"/>
    <w:basedOn w:val="Bezseznamu"/>
    <w:pPr>
      <w:numPr>
        <w:numId w:val="19"/>
      </w:numPr>
    </w:pPr>
  </w:style>
  <w:style w:type="numbering" w:styleId="WWOutlineListStyle13" w:customStyle="1">
    <w:name w:val="WW_OutlineListStyle_13"/>
    <w:basedOn w:val="Bezseznamu"/>
    <w:pPr>
      <w:numPr>
        <w:numId w:val="20"/>
      </w:numPr>
    </w:pPr>
  </w:style>
  <w:style w:type="numbering" w:styleId="WWOutlineListStyle12" w:customStyle="1">
    <w:name w:val="WW_OutlineListStyle_12"/>
    <w:basedOn w:val="Bezseznamu"/>
    <w:pPr>
      <w:numPr>
        <w:numId w:val="21"/>
      </w:numPr>
    </w:pPr>
  </w:style>
  <w:style w:type="numbering" w:styleId="WWOutlineListStyle11" w:customStyle="1">
    <w:name w:val="WW_OutlineListStyle_11"/>
    <w:basedOn w:val="Bezseznamu"/>
    <w:pPr>
      <w:numPr>
        <w:numId w:val="22"/>
      </w:numPr>
    </w:pPr>
  </w:style>
  <w:style w:type="numbering" w:styleId="WWOutlineListStyle10" w:customStyle="1">
    <w:name w:val="WW_OutlineListStyle_10"/>
    <w:basedOn w:val="Bezseznamu"/>
    <w:pPr>
      <w:numPr>
        <w:numId w:val="23"/>
      </w:numPr>
    </w:pPr>
  </w:style>
  <w:style w:type="numbering" w:styleId="WWOutlineListStyle9" w:customStyle="1">
    <w:name w:val="WW_OutlineListStyle_9"/>
    <w:basedOn w:val="Bezseznamu"/>
    <w:pPr>
      <w:numPr>
        <w:numId w:val="24"/>
      </w:numPr>
    </w:pPr>
  </w:style>
  <w:style w:type="numbering" w:styleId="WWOutlineListStyle8" w:customStyle="1">
    <w:name w:val="WW_OutlineListStyle_8"/>
    <w:basedOn w:val="Bezseznamu"/>
    <w:pPr>
      <w:numPr>
        <w:numId w:val="25"/>
      </w:numPr>
    </w:pPr>
  </w:style>
  <w:style w:type="numbering" w:styleId="WWOutlineListStyle7" w:customStyle="1">
    <w:name w:val="WW_OutlineListStyle_7"/>
    <w:basedOn w:val="Bezseznamu"/>
    <w:pPr>
      <w:numPr>
        <w:numId w:val="26"/>
      </w:numPr>
    </w:pPr>
  </w:style>
  <w:style w:type="numbering" w:styleId="WWOutlineListStyle6" w:customStyle="1">
    <w:name w:val="WW_OutlineListStyle_6"/>
    <w:basedOn w:val="Bezseznamu"/>
    <w:pPr>
      <w:numPr>
        <w:numId w:val="27"/>
      </w:numPr>
    </w:pPr>
  </w:style>
  <w:style w:type="numbering" w:styleId="WWOutlineListStyle5" w:customStyle="1">
    <w:name w:val="WW_OutlineListStyle_5"/>
    <w:basedOn w:val="Bezseznamu"/>
    <w:pPr>
      <w:numPr>
        <w:numId w:val="28"/>
      </w:numPr>
    </w:pPr>
  </w:style>
  <w:style w:type="numbering" w:styleId="WWOutlineListStyle4" w:customStyle="1">
    <w:name w:val="WW_OutlineListStyle_4"/>
    <w:basedOn w:val="Bezseznamu"/>
    <w:pPr>
      <w:numPr>
        <w:numId w:val="29"/>
      </w:numPr>
    </w:pPr>
  </w:style>
  <w:style w:type="numbering" w:styleId="WWOutlineListStyle3" w:customStyle="1">
    <w:name w:val="WW_OutlineListStyle_3"/>
    <w:basedOn w:val="Bezseznamu"/>
    <w:pPr>
      <w:numPr>
        <w:numId w:val="30"/>
      </w:numPr>
    </w:pPr>
  </w:style>
  <w:style w:type="numbering" w:styleId="WWOutlineListStyle2" w:customStyle="1">
    <w:name w:val="WW_OutlineListStyle_2"/>
    <w:basedOn w:val="Bezseznamu"/>
    <w:pPr>
      <w:numPr>
        <w:numId w:val="31"/>
      </w:numPr>
    </w:pPr>
  </w:style>
  <w:style w:type="numbering" w:styleId="WWOutlineListStyle1" w:customStyle="1">
    <w:name w:val="WW_OutlineListStyle_1"/>
    <w:basedOn w:val="Bezseznamu"/>
    <w:pPr>
      <w:numPr>
        <w:numId w:val="32"/>
      </w:numPr>
    </w:pPr>
  </w:style>
  <w:style w:type="numbering" w:styleId="WWOutlineListStyle" w:customStyle="1">
    <w:name w:val="WW_OutlineListStyle"/>
    <w:basedOn w:val="Bezseznamu"/>
    <w:pPr>
      <w:numPr>
        <w:numId w:val="33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MAyj8JvO96Z80a1f5+2DRRjNrw==">CgMxLjAyCGguZ2pkZ3hzMgloLjMwajB6bGwyCWguMWZvYjl0ZTIJaC4zem55c2g3MgloLjJldDkycDA4AHIhMVo1aTVIRS1MeGFyazQzTFBLVnNYRV9EZkVFaHJTSjEz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2024-01-31T12:18:00Z</dcterms:created>
  <dc:creator>Ke dni 31. 12. 2010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  <property fmtid="{D5CDD505-2E9C-101B-9397-08002B2CF9AE}" pid="3" name="ContentTypeId">
    <vt:lpwstr>0x0101009A3F5716E4BCDD4181534066BBDEAA99</vt:lpwstr>
  </property>
</Properties>
</file>