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072"/>
      </w:tblGrid>
      <w:tr>
        <w:trPr>
          <w:trHeight w:val="1002" w:hRule="auto"/>
          <w:jc w:val="left"/>
        </w:trPr>
        <w:tc>
          <w:tcPr>
            <w:tcW w:w="9072" w:type="dxa"/>
            <w:tcBorders>
              <w:top w:val="single" w:color="000000" w:sz="0"/>
              <w:left w:val="single" w:color="000000" w:sz="0"/>
              <w:bottom w:val="single" w:color="4f81bd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  <w:t xml:space="preserve">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  <w:t xml:space="preserve">ř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  <w:t xml:space="preserve">íloha v ú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  <w:t xml:space="preserve">četn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  <w:t xml:space="preserve">í záv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  <w:t xml:space="preserve">ěrce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  <w:t xml:space="preserve">ve zkráceném rozsahu</w:t>
            </w:r>
          </w:p>
        </w:tc>
      </w:tr>
      <w:tr>
        <w:trPr>
          <w:trHeight w:val="720" w:hRule="auto"/>
          <w:jc w:val="left"/>
        </w:trPr>
        <w:tc>
          <w:tcPr>
            <w:tcW w:w="9072" w:type="dxa"/>
            <w:tcBorders>
              <w:top w:val="single" w:color="4f81bd" w:sz="4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40"/>
                <w:shd w:fill="auto" w:val="clear"/>
              </w:rPr>
              <w:t xml:space="preserve">Korporace Restaurace Kaskáda, s.r.o.</w:t>
            </w:r>
          </w:p>
        </w:tc>
      </w:tr>
      <w:tr>
        <w:trPr>
          <w:trHeight w:val="80" w:hRule="auto"/>
          <w:jc w:val="left"/>
        </w:trPr>
        <w:tc>
          <w:tcPr>
            <w:tcW w:w="90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90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0"/>
                <w:shd w:fill="auto" w:val="clear"/>
              </w:rPr>
              <w:t xml:space="preserve">ke dni 31.12.2024</w:t>
            </w:r>
          </w:p>
        </w:tc>
      </w:tr>
      <w:tr>
        <w:trPr>
          <w:trHeight w:val="360" w:hRule="auto"/>
          <w:jc w:val="left"/>
        </w:trPr>
        <w:tc>
          <w:tcPr>
            <w:tcW w:w="90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Obsah 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ílohy</w:t>
      </w: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Podle § 39 vyhlá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šky č. 500/2002 Sb.:</w:t>
      </w: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8"/>
          <w:shd w:fill="auto" w:val="clear"/>
        </w:rPr>
      </w:pPr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1.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Popis účetní jednotky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2.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Pou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žit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é obecné účetní zásady, účetní metody a odchylky od t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ěchto metod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3.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5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Informace k polo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žk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ám závazkových vztah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ů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6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4.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7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Výše a povaha jednotlivých polo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žek v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ýnos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ů a n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áklad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ů, kter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é jsou mimo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řádn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é svým objemem nebo p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ůvodem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8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5.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9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Pr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ůměrn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ý po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čet zaměstnanců v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 pr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ůběhu 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účetního období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0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6.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11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Informace o nabytí vlastních akcií nebo vlastních podíl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ů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2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7.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13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Významné události mezi rozvahovým dnem a okam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žikem sestaven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í účetní záv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ěrky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1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Popis 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četn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 jednotky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Název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  <w:tab/>
        <w:tab/>
        <w:tab/>
        <w:t xml:space="preserve">Restaurace Kaskáda, s.r.o.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Sídlo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  <w:tab/>
        <w:tab/>
        <w:tab/>
        <w:t xml:space="preserve">Pod Kostelí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čkem  121, PSČ 277 21, Liběchov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Právní forma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  <w:tab/>
        <w:tab/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  <w:tab/>
        <w:tab/>
        <w:tab/>
        <w:tab/>
        <w:tab/>
        <w:t xml:space="preserve">27608905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ředmět podnik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ání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  <w:tab/>
        <w:t xml:space="preserve"> </w:t>
        <w:tab/>
        <w:tab/>
        <w:t xml:space="preserve">hostinská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činnost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Den vzniku 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četn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 jednotky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jna 2006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Zda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ňovac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 období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  <w:tab/>
        <w:t xml:space="preserve">od 1.1.2024 do 31.12.2024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Rozvahový den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  <w:tab/>
        <w:t xml:space="preserve">31.12.2024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Okam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žik sestaven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 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četn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 záv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ěrky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  <w:tab/>
        <w:t xml:space="preserve">15.3.2025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žit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é obecné 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četn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 zásady, 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četn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 metody a odchylky od 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ěchto metod</w:t>
      </w:r>
    </w:p>
    <w:p>
      <w:pPr>
        <w:numPr>
          <w:ilvl w:val="0"/>
          <w:numId w:val="25"/>
        </w:num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dle zákona o ú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četnictv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a vyhlá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šky č.500/2002 Sb., bez odchylek</w:t>
      </w:r>
    </w:p>
    <w:p>
      <w:pPr>
        <w:numPr>
          <w:ilvl w:val="0"/>
          <w:numId w:val="25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pacing w:before="0" w:after="0" w:line="240"/>
        <w:ind w:right="0" w:left="624" w:hanging="62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žit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é 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četn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 metody</w:t>
      </w:r>
    </w:p>
    <w:p>
      <w:pPr>
        <w:numPr>
          <w:ilvl w:val="0"/>
          <w:numId w:val="25"/>
        </w:num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metoda B účtov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ání zásob </w:t>
      </w:r>
    </w:p>
    <w:p>
      <w:pPr>
        <w:numPr>
          <w:ilvl w:val="0"/>
          <w:numId w:val="25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pacing w:before="0" w:after="0" w:line="240"/>
        <w:ind w:right="0" w:left="624" w:hanging="62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Informace o odchylkách od metod podle § 7 odst. 5 zákona o účetnictv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 s uvedením jejich vlivu na majetek a závazky, na finan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 situaci a výsledek hospoda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 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četn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 jednotky</w:t>
      </w:r>
    </w:p>
    <w:p>
      <w:pPr>
        <w:numPr>
          <w:ilvl w:val="0"/>
          <w:numId w:val="25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nebyly použity 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ádné odchylky od metod dle zákona o ú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četnictv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</w:p>
    <w:p>
      <w:pPr>
        <w:numPr>
          <w:ilvl w:val="0"/>
          <w:numId w:val="25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pacing w:before="0" w:after="0" w:line="240"/>
        <w:ind w:right="0" w:left="624" w:hanging="62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Způsob oceňov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ání majetku a závazk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ů</w:t>
      </w:r>
    </w:p>
    <w:p>
      <w:pPr>
        <w:numPr>
          <w:ilvl w:val="0"/>
          <w:numId w:val="25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řizovac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cena</w:t>
      </w:r>
    </w:p>
    <w:p>
      <w:pPr>
        <w:numPr>
          <w:ilvl w:val="0"/>
          <w:numId w:val="25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pacing w:before="0" w:after="0" w:line="240"/>
        <w:ind w:right="0" w:left="624" w:hanging="62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Způsob stanoven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 úprav hodnot majetku (odpisy a opravné polo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žky)</w:t>
      </w:r>
    </w:p>
    <w:p>
      <w:pPr>
        <w:numPr>
          <w:ilvl w:val="0"/>
          <w:numId w:val="25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odpisy - ú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četn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odpisy se rovnají da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ým, opravné polo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žky dle platn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ú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četn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ích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ředpisů</w:t>
      </w:r>
    </w:p>
    <w:p>
      <w:pPr>
        <w:numPr>
          <w:ilvl w:val="0"/>
          <w:numId w:val="25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pacing w:before="0" w:after="0" w:line="240"/>
        <w:ind w:right="0" w:left="624" w:hanging="62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ůsob přepočtu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údaj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ů v ciz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ích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ách na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českou měnu</w:t>
      </w:r>
    </w:p>
    <w:p>
      <w:pPr>
        <w:numPr>
          <w:ilvl w:val="0"/>
          <w:numId w:val="25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denní kurz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ČNB</w:t>
      </w:r>
    </w:p>
    <w:p>
      <w:pPr>
        <w:numPr>
          <w:ilvl w:val="0"/>
          <w:numId w:val="25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pacing w:before="0" w:after="0" w:line="240"/>
        <w:ind w:right="0" w:left="624" w:hanging="62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Stanovení reálné hodnoty majetku a závazk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ů</w:t>
      </w:r>
    </w:p>
    <w:p>
      <w:pPr>
        <w:numPr>
          <w:ilvl w:val="0"/>
          <w:numId w:val="25"/>
        </w:numPr>
        <w:suppressAutoHyphens w:val="true"/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uppressAutoHyphens w:val="true"/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hodnota majetku a závazk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 je oceňov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ána 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řizovac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cenou</w:t>
      </w:r>
    </w:p>
    <w:p>
      <w:pPr>
        <w:numPr>
          <w:ilvl w:val="0"/>
          <w:numId w:val="25"/>
        </w:numPr>
        <w:suppressAutoHyphens w:val="true"/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uppressAutoHyphens w:val="true"/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pacing w:before="0" w:after="0" w:line="240"/>
        <w:ind w:right="0" w:left="624" w:hanging="62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Použit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ý oce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ňovac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 model a technika 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ři oceněn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 reálnou hodnotou</w:t>
      </w:r>
    </w:p>
    <w:p>
      <w:pPr>
        <w:numPr>
          <w:ilvl w:val="0"/>
          <w:numId w:val="25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firma nepouž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ívá ocen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reálnou hodnotou</w:t>
      </w:r>
    </w:p>
    <w:p>
      <w:pPr>
        <w:numPr>
          <w:ilvl w:val="0"/>
          <w:numId w:val="25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Informace k položk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ám závazkových vztah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ů </w:t>
      </w:r>
    </w:p>
    <w:p>
      <w:pPr>
        <w:numPr>
          <w:ilvl w:val="0"/>
          <w:numId w:val="25"/>
        </w:num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pacing w:before="0" w:after="0" w:line="240"/>
        <w:ind w:right="0" w:left="624" w:hanging="62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Závazkové vztahy (pohledávky a dluhy), které k rozvahovému dni mají dobu splatnosti del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 ne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ž 5 let</w:t>
      </w:r>
    </w:p>
    <w:p>
      <w:pPr>
        <w:numPr>
          <w:ilvl w:val="0"/>
          <w:numId w:val="25"/>
        </w:numPr>
        <w:suppressAutoHyphens w:val="true"/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uppressAutoHyphens w:val="true"/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nejsou</w:t>
      </w:r>
    </w:p>
    <w:p>
      <w:pPr>
        <w:numPr>
          <w:ilvl w:val="0"/>
          <w:numId w:val="25"/>
        </w:numPr>
        <w:suppressAutoHyphens w:val="true"/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uppressAutoHyphens w:val="true"/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pacing w:before="0" w:after="0" w:line="240"/>
        <w:ind w:right="0" w:left="624" w:hanging="62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Závazkové vztahy (pohledávky a dluhy), které jsou kryty 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ěcn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ými zárukami</w:t>
      </w:r>
    </w:p>
    <w:p>
      <w:pPr>
        <w:numPr>
          <w:ilvl w:val="0"/>
          <w:numId w:val="25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nejsou</w:t>
      </w:r>
    </w:p>
    <w:p>
      <w:pPr>
        <w:numPr>
          <w:ilvl w:val="0"/>
          <w:numId w:val="25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pacing w:before="0" w:after="0" w:line="240"/>
        <w:ind w:right="0" w:left="624" w:hanging="62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Zálohy, závdavky, zápůjčky 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úv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ěry poskytnut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é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členům ř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ídících, kontrolních a 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ípadn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 spr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ávních orgán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ů</w:t>
      </w:r>
    </w:p>
    <w:p>
      <w:pPr>
        <w:numPr>
          <w:ilvl w:val="0"/>
          <w:numId w:val="25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nebyly poskytnuty</w:t>
      </w:r>
    </w:p>
    <w:p>
      <w:pPr>
        <w:numPr>
          <w:ilvl w:val="0"/>
          <w:numId w:val="25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pacing w:before="0" w:after="0" w:line="240"/>
        <w:ind w:right="0" w:left="624" w:hanging="62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Závazkové vztahy (pohledávky a dluhy), podmín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é závazkové vztahy a poskytnuté 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ěcn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é záruky, které nejsou vykázány v rozvaze</w:t>
      </w:r>
    </w:p>
    <w:p>
      <w:pPr>
        <w:numPr>
          <w:ilvl w:val="0"/>
          <w:numId w:val="25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nejsou</w:t>
      </w:r>
    </w:p>
    <w:p>
      <w:pPr>
        <w:numPr>
          <w:ilvl w:val="0"/>
          <w:numId w:val="25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pacing w:before="0" w:after="0" w:line="240"/>
        <w:ind w:right="0" w:left="624" w:hanging="62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Penzijní závazky a závazky vůči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četn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ím jednotkám v konsolida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ím celku a 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řidružen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ým 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četn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ím jednotkám</w:t>
      </w:r>
    </w:p>
    <w:p>
      <w:pPr>
        <w:numPr>
          <w:ilvl w:val="0"/>
          <w:numId w:val="25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nejsou</w:t>
      </w:r>
    </w:p>
    <w:p>
      <w:pPr>
        <w:numPr>
          <w:ilvl w:val="0"/>
          <w:numId w:val="25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Výše a povaha jednotliv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ých polo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žek 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ýnos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ů a 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áklad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ů, kter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é jsou mimo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ádné svým objemem nebo 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ůvodem</w:t>
      </w:r>
    </w:p>
    <w:p>
      <w:pPr>
        <w:numPr>
          <w:ilvl w:val="0"/>
          <w:numId w:val="25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šechny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áklady a výnosy souvisejí pouze s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ěžnou činnost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firmy, firma nevyvíjela v r.202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ádnou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činnost,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áklady jsou pouze za sestavení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řizn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ání k dani z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íjm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ů.</w:t>
      </w:r>
    </w:p>
    <w:p>
      <w:pPr>
        <w:numPr>
          <w:ilvl w:val="0"/>
          <w:numId w:val="25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ůměrn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ý 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řepočten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ý po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čet zaměstnanců v průběhu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četn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ího období </w:t>
      </w:r>
    </w:p>
    <w:p>
      <w:pPr>
        <w:numPr>
          <w:ilvl w:val="0"/>
          <w:numId w:val="25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 firmu pracoval pouze jednatel</w:t>
      </w:r>
    </w:p>
    <w:p>
      <w:pPr>
        <w:numPr>
          <w:ilvl w:val="0"/>
          <w:numId w:val="25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Informace o nabytí vlastních akcií nebo vlastních podílů</w:t>
      </w:r>
    </w:p>
    <w:p>
      <w:pPr>
        <w:numPr>
          <w:ilvl w:val="0"/>
          <w:numId w:val="25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25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</w:t>
      </w:r>
    </w:p>
    <w:p>
      <w:pPr>
        <w:numPr>
          <w:ilvl w:val="0"/>
          <w:numId w:val="25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Významné události mezi rozvahovým dnem a okam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žikem sestaven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 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četn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 záv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ěrky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Nedo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šlo k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ýznamným událostem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Sestaveno dne: 15.3.2025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Sestavil: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21">
    <w:abstractNumId w:val="6"/>
  </w:num>
  <w:num w:numId="2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#_Toc438559031" Id="docRId13" Type="http://schemas.openxmlformats.org/officeDocument/2006/relationships/hyperlink" /><Relationship TargetMode="External" Target="#_Toc438559026" Id="docRId3" Type="http://schemas.openxmlformats.org/officeDocument/2006/relationships/hyperlink" /><Relationship TargetMode="External" Target="#_Toc438559028" Id="docRId7" Type="http://schemas.openxmlformats.org/officeDocument/2006/relationships/hyperlink" /><Relationship TargetMode="External" Target="#_Toc438559030" Id="docRId10" Type="http://schemas.openxmlformats.org/officeDocument/2006/relationships/hyperlink" /><Relationship Target="numbering.xml" Id="docRId14" Type="http://schemas.openxmlformats.org/officeDocument/2006/relationships/numbering" /><Relationship TargetMode="External" Target="#_Toc438559026" Id="docRId2" Type="http://schemas.openxmlformats.org/officeDocument/2006/relationships/hyperlink" /><Relationship TargetMode="External" Target="#_Toc438559028" Id="docRId6" Type="http://schemas.openxmlformats.org/officeDocument/2006/relationships/hyperlink" /><Relationship TargetMode="External" Target="#_Toc438559025" Id="docRId1" Type="http://schemas.openxmlformats.org/officeDocument/2006/relationships/hyperlink" /><Relationship TargetMode="External" Target="#_Toc438559030" Id="docRId11" Type="http://schemas.openxmlformats.org/officeDocument/2006/relationships/hyperlink" /><Relationship Target="styles.xml" Id="docRId15" Type="http://schemas.openxmlformats.org/officeDocument/2006/relationships/styles" /><Relationship TargetMode="External" Target="#_Toc438559027" Id="docRId5" Type="http://schemas.openxmlformats.org/officeDocument/2006/relationships/hyperlink" /><Relationship TargetMode="External" Target="#_Toc438559029" Id="docRId9" Type="http://schemas.openxmlformats.org/officeDocument/2006/relationships/hyperlink" /><Relationship TargetMode="External" Target="#_Toc438559025" Id="docRId0" Type="http://schemas.openxmlformats.org/officeDocument/2006/relationships/hyperlink" /><Relationship TargetMode="External" Target="#_Toc438559031" Id="docRId12" Type="http://schemas.openxmlformats.org/officeDocument/2006/relationships/hyperlink" /><Relationship TargetMode="External" Target="#_Toc438559027" Id="docRId4" Type="http://schemas.openxmlformats.org/officeDocument/2006/relationships/hyperlink" /><Relationship TargetMode="External" Target="#_Toc438559029" Id="docRId8" Type="http://schemas.openxmlformats.org/officeDocument/2006/relationships/hyperlink" /></Relationships>
</file>