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1002" w:hRule="atLeast"/>
        </w:trPr>
        <w:tc>
          <w:tcPr>
            <w:tcW w:w="9072" w:type="dxa"/>
            <w:tcBorders>
              <w:bottom w:val="single" w:sz="4" w:space="0" w:color="4F81BD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ambria" w:hAnsi="Cambria" w:eastAsia="Times New Roman"/>
                <w:sz w:val="60"/>
                <w:szCs w:val="60"/>
              </w:rPr>
            </w:pPr>
            <w:r>
              <w:rPr>
                <w:rFonts w:eastAsia="Times New Roman" w:ascii="Cambria" w:hAnsi="Cambria"/>
                <w:sz w:val="60"/>
                <w:szCs w:val="60"/>
              </w:rPr>
              <w:t>Příloha v účetní závěrce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Times New Roman" w:ascii="Cambria" w:hAnsi="Cambria"/>
                <w:sz w:val="60"/>
                <w:szCs w:val="60"/>
              </w:rPr>
              <w:t>ve zkráceném rozsahu</w:t>
            </w:r>
          </w:p>
        </w:tc>
      </w:tr>
      <w:tr>
        <w:trPr>
          <w:trHeight w:val="720" w:hRule="atLeast"/>
        </w:trPr>
        <w:tc>
          <w:tcPr>
            <w:tcW w:w="9072" w:type="dxa"/>
            <w:tcBorders>
              <w:top w:val="single" w:sz="4" w:space="0" w:color="4F81BD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Times New Roman" w:ascii="Cambria" w:hAnsi="Cambria"/>
                <w:sz w:val="40"/>
                <w:szCs w:val="40"/>
              </w:rPr>
              <w:t>Korporace Česká vodohospodářská s.r.o.</w:t>
            </w:r>
          </w:p>
        </w:tc>
      </w:tr>
      <w:tr>
        <w:trPr>
          <w:trHeight w:val="8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bCs/>
                <w:sz w:val="30"/>
                <w:szCs w:val="30"/>
              </w:rPr>
              <w:t>ke dni 31.12.202</w:t>
            </w:r>
            <w:r>
              <w:rPr>
                <w:bCs/>
                <w:sz w:val="30"/>
                <w:szCs w:val="3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Obsah přílohy</w:t>
      </w:r>
    </w:p>
    <w:p>
      <w:pPr>
        <w:pStyle w:val="Normal"/>
        <w:spacing w:lineRule="auto" w:line="240"/>
        <w:rPr/>
      </w:pPr>
      <w:r>
        <w:rPr/>
        <w:t>Podle § 39 vyhlášky č. 500/2002 Sb.:</w:t>
      </w:r>
    </w:p>
    <w:p>
      <w:pPr>
        <w:pStyle w:val="Normal"/>
        <w:spacing w:lineRule="auto" w:line="240"/>
        <w:rPr>
          <w:sz w:val="8"/>
          <w:szCs w:val="8"/>
          <w:lang w:eastAsia="cs-CZ"/>
        </w:rPr>
      </w:pPr>
      <w:r>
        <w:rPr>
          <w:sz w:val="8"/>
          <w:szCs w:val="8"/>
          <w:lang w:eastAsia="cs-CZ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Obsah1"/>
            <w:spacing w:before="0" w:after="100"/>
            <w:rPr>
              <w:sz w:val="18"/>
              <w:szCs w:val="18"/>
            </w:rPr>
          </w:pPr>
          <w:r>
            <w:fldChar w:fldCharType="begin"/>
          </w:r>
          <w:r>
            <w:rPr>
              <w:rStyle w:val="Odkaznarejstk"/>
              <w:sz w:val="18"/>
              <w:szCs w:val="18"/>
            </w:rPr>
            <w:instrText> TOC \o "1-1" \u </w:instrText>
          </w:r>
          <w:r>
            <w:rPr>
              <w:rStyle w:val="Odkaznarejstk"/>
              <w:sz w:val="18"/>
              <w:szCs w:val="18"/>
            </w:rPr>
            <w:fldChar w:fldCharType="separate"/>
          </w:r>
          <w:hyperlink w:anchor="_Toc438559025">
            <w:r>
              <w:rPr>
                <w:rStyle w:val="Odkaznarejstk"/>
                <w:sz w:val="18"/>
                <w:szCs w:val="18"/>
              </w:rPr>
              <w:t>1.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_Toc438559025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  <w:sz w:val="18"/>
                <w:szCs w:val="18"/>
              </w:rPr>
              <w:t>Popis účetní jednotky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6">
            <w:r>
              <w:rPr>
                <w:rStyle w:val="Odkaznarejstk"/>
              </w:rPr>
              <w:t>2.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_Toc438559026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Použité obecné účetní zásady, účetní metody a odchylky od těchto metod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7">
            <w:r>
              <w:rPr>
                <w:rStyle w:val="Odkaznarejstk"/>
              </w:rPr>
              <w:t>3.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_Toc438559027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Informace k položkám závazkových vztahů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8">
            <w:r>
              <w:rPr>
                <w:rStyle w:val="Odkaznarejstk"/>
              </w:rPr>
              <w:t>4.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_Toc438559028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Výše a povaha jednotlivých položek výnosů a nákladů, které jsou mimořádné svým objemem nebo původem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9">
            <w:r>
              <w:rPr>
                <w:rStyle w:val="Odkaznarejstk"/>
              </w:rPr>
              <w:t>5.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_Toc438559029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Průměrný počet zaměstnanců v průběhu účetního období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30">
            <w:r>
              <w:rPr>
                <w:rStyle w:val="Odkaznarejstk"/>
              </w:rPr>
              <w:t>6.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_Toc438559030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Informace o nabytí vlastních akcií nebo vlastních podílů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31">
            <w:r>
              <w:rPr>
                <w:rStyle w:val="Odkaznarejstk"/>
              </w:rPr>
              <w:t>7.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_Toc438559031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Významné události mezi rozvahovým dnem a okamžikem sestavení účetní závěrky</w:t>
            </w:r>
            <w:r>
              <w:rPr>
                <w:webHidden/>
              </w:rPr>
              <w:fldChar w:fldCharType="end"/>
            </w:r>
          </w:hyperlink>
          <w:r>
            <w:rPr>
              <w:rStyle w:val="Odkaznarejstk"/>
            </w:rPr>
            <w:fldChar w:fldCharType="end"/>
          </w:r>
        </w:p>
      </w:sdtContent>
    </w:sdt>
    <w:p>
      <w:pPr>
        <w:pStyle w:val="Obsah1"/>
        <w:spacing w:before="0" w:after="10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1"/>
        <w:rPr/>
      </w:pPr>
      <w:bookmarkStart w:id="0" w:name="_Toc438559025"/>
      <w:bookmarkStart w:id="1" w:name="_Toc438557857"/>
      <w:bookmarkStart w:id="2" w:name="_Toc438216068"/>
      <w:bookmarkStart w:id="3" w:name="_Toc304294608"/>
      <w:bookmarkStart w:id="4" w:name="_Toc304294012"/>
      <w:bookmarkStart w:id="5" w:name="_Toc304192037"/>
      <w:bookmarkStart w:id="6" w:name="_Toc304192024"/>
      <w:bookmarkStart w:id="7" w:name="_Toc304191927"/>
      <w:bookmarkStart w:id="8" w:name="_Toc304191914"/>
      <w:bookmarkStart w:id="9" w:name="_Toc297121704"/>
      <w:bookmarkStart w:id="10" w:name="_Toc297117377"/>
      <w:bookmarkStart w:id="11" w:name="_Toc297117358"/>
      <w:bookmarkStart w:id="12" w:name="_Toc297117345"/>
      <w:bookmarkStart w:id="13" w:name="_Toc297117332"/>
      <w:bookmarkStart w:id="14" w:name="_Toc297117319"/>
      <w:bookmarkStart w:id="15" w:name="_Toc297112135"/>
      <w:bookmarkStart w:id="16" w:name="_Toc297106456"/>
      <w:bookmarkStart w:id="17" w:name="_Toc297029810"/>
      <w:bookmarkStart w:id="18" w:name="_Toc297029771"/>
      <w:bookmarkStart w:id="19" w:name="_Toc297025536"/>
      <w:bookmarkStart w:id="20" w:name="_Toc297025395"/>
      <w:bookmarkStart w:id="21" w:name="_Toc297025216"/>
      <w:bookmarkStart w:id="22" w:name="_Toc297025068"/>
      <w:bookmarkStart w:id="23" w:name="_Toc297025039"/>
      <w:r>
        <w:rPr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Normal"/>
        <w:spacing w:lineRule="auto" w:line="240" w:before="0" w:after="0"/>
        <w:ind w:left="708" w:hanging="0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  <w:tab/>
        <w:tab/>
        <w:tab/>
        <w:tab/>
        <w:tab/>
        <w:t>Česká vodohospodářská s.r.o.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  <w:tab/>
        <w:tab/>
        <w:tab/>
        <w:tab/>
        <w:tab/>
        <w:t>Hlinská  456/2, PSČ 370 01, České Budějovice 1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  <w:tab/>
        <w:tab/>
        <w:tab/>
        <w:tab/>
        <w:t>s.r.o.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  <w:tab/>
        <w:tab/>
        <w:tab/>
        <w:tab/>
        <w:tab/>
        <w:t>26868393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  <w:tab/>
        <w:t xml:space="preserve"> </w:t>
        <w:tab/>
        <w:tab/>
      </w:r>
      <w:r>
        <w:rPr>
          <w:rFonts w:cs="Arial" w:ascii="Arial" w:hAnsi="Arial"/>
          <w:color w:val="333333"/>
          <w:sz w:val="18"/>
          <w:szCs w:val="18"/>
        </w:rPr>
        <w:t xml:space="preserve">OSTATNÍ INŽENÝRSKÉ ČINNOSTI A SOUVISEJÍCÍ TECHNICKÉ PORADENSTVÍ 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  <w:tab/>
        <w:tab/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  <w:tab/>
        <w:tab/>
        <w:tab/>
        <w:t>od 1.1.202</w:t>
      </w:r>
      <w:r>
        <w:rPr>
          <w:rFonts w:cs="Calibri"/>
        </w:rPr>
        <w:t>4</w:t>
      </w:r>
      <w:r>
        <w:rPr>
          <w:rFonts w:cs="Calibri"/>
        </w:rPr>
        <w:t xml:space="preserve"> do 31.12.202</w:t>
      </w:r>
      <w:r>
        <w:rPr>
          <w:rFonts w:cs="Calibri"/>
        </w:rPr>
        <w:t>4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  <w:tab/>
        <w:tab/>
        <w:tab/>
        <w:t>31.12.202</w:t>
      </w:r>
      <w:r>
        <w:rPr>
          <w:rFonts w:cs="Calibri"/>
        </w:rPr>
        <w:t>4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  <w:tab/>
      </w:r>
      <w:r>
        <w:rPr>
          <w:rFonts w:cs="Calibri"/>
        </w:rPr>
        <w:t>23</w:t>
      </w:r>
      <w:r>
        <w:rPr>
          <w:rFonts w:cs="Calibri"/>
        </w:rPr>
        <w:t>.4.202</w:t>
      </w:r>
      <w:r>
        <w:rPr>
          <w:rFonts w:cs="Calibri"/>
        </w:rPr>
        <w:t>5</w:t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1"/>
        <w:rPr/>
      </w:pPr>
      <w:bookmarkStart w:id="24" w:name="_Toc438559026"/>
      <w:bookmarkStart w:id="25" w:name="_Toc438557858"/>
      <w:bookmarkStart w:id="26" w:name="_Toc438216069"/>
      <w:r>
        <w:rPr/>
        <w:t>Použité obecné účetní zásady, účetní metody a odchylky od těchto metod</w:t>
      </w:r>
      <w:bookmarkEnd w:id="24"/>
      <w:bookmarkEnd w:id="25"/>
      <w:bookmarkEnd w:id="26"/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Účetní jednotka postupuje v souladu se Zákonem o účetnictví, účtovou osnovou a předpisy pro podvojné účetnictví podnikatelů, zejména vyhláškou č. 500/2002 Sb., kterou se provádějí některá ustanovení zákona č. 563/1991 Sb. o účetnictví, pro účetní jednotky, které jsou podnikateli účtujícími v soustavě podvojného účetnictví, v platném znění a Českými účetními standardy pro podnikatele v platném znění.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Účetnictví respektuje obecné účetní zásady, především zásadu oceňování majetku, zásadu účtování ve věcné a časové souvislosti, zásadu opatrnosti a předpoklad o schopnosti účetní jednotky pokračovat ve svých aktivitách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oceňování majetku a závazků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Majetek a závazky jsou oceňovány pořizovací cenou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stanovení úprav hodnot majetku (odpisy a opravné položky)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Majetek je odepisován dle zákona 586/1992 Sb., o daních z příjmů v platném znění. Opravné položky nejsou tvořeny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přepočtu údajů v cizích měnách na českou měnu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V případě použití cizí měny se používá denní kurz ČNB</w:t>
      </w:r>
    </w:p>
    <w:p>
      <w:pPr>
        <w:pStyle w:val="Normal"/>
        <w:spacing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adpis1"/>
        <w:rPr/>
      </w:pPr>
      <w:bookmarkStart w:id="27" w:name="_Toc438559027"/>
      <w:bookmarkStart w:id="28" w:name="_Toc438557859"/>
      <w:bookmarkStart w:id="29" w:name="_Toc438216070"/>
      <w:r>
        <w:rPr/>
        <w:t>Informace k položkám závazkových vztahů</w:t>
      </w:r>
      <w:bookmarkEnd w:id="27"/>
      <w:bookmarkEnd w:id="28"/>
      <w:bookmarkEnd w:id="29"/>
      <w:r>
        <w:rPr/>
        <w:t xml:space="preserve"> </w:t>
      </w:r>
    </w:p>
    <w:p>
      <w:pPr>
        <w:pStyle w:val="Normal"/>
        <w:spacing w:lineRule="auto" w:line="240" w:before="0" w:after="0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adpis2"/>
        <w:rPr/>
      </w:pPr>
      <w:r>
        <w:rPr/>
        <w:t>Závazkové vztahy (pohledávky a dluhy), které k rozvahovému dni mají dobu splatnosti delší než 5 let</w:t>
      </w:r>
    </w:p>
    <w:p>
      <w:pPr>
        <w:pStyle w:val="Normal"/>
        <w:spacing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Společnost nemá závazkové vztahy se splatností delší než 5 let</w:t>
      </w:r>
    </w:p>
    <w:p>
      <w:pPr>
        <w:pStyle w:val="Normal"/>
        <w:spacing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Závazkové vztahy (pohledávky a dluhy), které jsou kryty věcnými zárukami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Zálohy, závdavky, zápůjčky a úvěry poskytnuté členům řídících, kontrolních a případně správních orgánů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Závazkové vztahy (pohledávky a dluhy), podmíněné závazkové vztahy a poskytnuté věcné záruky, které nejsou vykázány v rozvaze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Penzijní závazky a závazky vůči účetním jednotkám v konsolidačním celku a přidruženým účetním jednotkám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0" w:name="_Toc438559028"/>
      <w:bookmarkStart w:id="31" w:name="_Toc438557860"/>
      <w:bookmarkStart w:id="32" w:name="_Toc438216071"/>
      <w:r>
        <w:rPr/>
        <w:t>Výše a povaha jednotlivých položek výnosů a nákladů, které jsou mimořádné svým objemem nebo původem</w:t>
      </w:r>
      <w:bookmarkEnd w:id="30"/>
      <w:bookmarkEnd w:id="31"/>
      <w:bookmarkEnd w:id="32"/>
    </w:p>
    <w:p>
      <w:pPr>
        <w:pStyle w:val="Normal"/>
        <w:spacing w:before="0" w:after="0"/>
        <w:ind w:left="360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3" w:name="_Toc438559029"/>
      <w:bookmarkStart w:id="34" w:name="_Toc438557861"/>
      <w:bookmarkStart w:id="35" w:name="_Toc438216072"/>
      <w:r>
        <w:rPr/>
        <w:t>Průměrný počet zaměstnanců v průběhu účetního období</w:t>
      </w:r>
      <w:bookmarkEnd w:id="33"/>
      <w:bookmarkEnd w:id="34"/>
      <w:bookmarkEnd w:id="35"/>
      <w:r>
        <w:rPr/>
        <w:t xml:space="preserve"> </w:t>
      </w:r>
    </w:p>
    <w:p>
      <w:pPr>
        <w:pStyle w:val="Normal"/>
        <w:spacing w:before="0" w:after="0"/>
        <w:ind w:left="360" w:hanging="0"/>
        <w:rPr/>
      </w:pPr>
      <w:r>
        <w:rPr/>
        <w:t>Průměrný počet zaměstnanců v roce 202</w:t>
      </w:r>
      <w:r>
        <w:rPr/>
        <w:t>4</w:t>
      </w:r>
      <w:r>
        <w:rPr/>
        <w:t xml:space="preserve"> činil 2 zaměstnance.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6" w:name="_Toc438559030"/>
      <w:r>
        <w:rPr/>
        <w:t>Informace o nabytí vlastních akcií nebo vlastních podílů</w:t>
      </w:r>
      <w:bookmarkEnd w:id="36"/>
    </w:p>
    <w:p>
      <w:pPr>
        <w:pStyle w:val="Normal"/>
        <w:spacing w:before="0" w:after="0"/>
        <w:ind w:left="360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7" w:name="_Toc438559031"/>
      <w:bookmarkStart w:id="38" w:name="_Toc438557862"/>
      <w:bookmarkStart w:id="39" w:name="_Toc438216082"/>
      <w:r>
        <w:rPr/>
        <w:t>Významné události mezi rozvahovým dnem a okamžikem sestavení účetní závěrky</w:t>
      </w:r>
      <w:bookmarkEnd w:id="37"/>
      <w:bookmarkEnd w:id="38"/>
      <w:bookmarkEnd w:id="39"/>
    </w:p>
    <w:p>
      <w:pPr>
        <w:pStyle w:val="Normal"/>
        <w:spacing w:lineRule="auto" w:line="240" w:before="0" w:after="0"/>
        <w:ind w:left="360" w:hanging="0"/>
        <w:jc w:val="both"/>
        <w:rPr>
          <w:rFonts w:cs="Calibri"/>
          <w:bCs/>
        </w:rPr>
      </w:pPr>
      <w:r>
        <w:rPr>
          <w:rFonts w:cs="Calibri"/>
          <w:bCs/>
        </w:rPr>
        <w:t>Od okamžiku sestavení účetní závěrky nedošlo k významným událostem.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  <w:t xml:space="preserve">Sestaveno dne: </w:t>
      </w:r>
      <w:r>
        <w:rPr>
          <w:rFonts w:cs="Calibri"/>
          <w:bCs/>
        </w:rPr>
        <w:t>23</w:t>
      </w:r>
      <w:r>
        <w:rPr>
          <w:rFonts w:cs="Calibri"/>
          <w:bCs/>
        </w:rPr>
        <w:t>.4.2023</w:t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bCs/>
        </w:rPr>
        <w:t>Sestavil: Ing. Kamil Rucký - jednatel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b/>
        <w:bCs/>
        <w:sz w:val="18"/>
        <w:szCs w:val="18"/>
      </w:rPr>
      <w:t>Příloha v účetní závěrce ve zkráceném rozsahu</w:t>
    </w:r>
  </w:p>
  <w:p>
    <w:pPr>
      <w:pStyle w:val="Zhlav"/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sz w:val="18"/>
        <w:szCs w:val="18"/>
      </w:rPr>
      <w:t>Korporace Česká vodohospodářská s.r.o.</w:t>
    </w:r>
  </w:p>
  <w:p>
    <w:pPr>
      <w:pStyle w:val="Zhlav"/>
      <w:pBdr>
        <w:bottom w:val="single" w:sz="4" w:space="1" w:color="A5A5A5"/>
      </w:pBdr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sz w:val="18"/>
        <w:szCs w:val="18"/>
      </w:rPr>
      <w:t>ke dni 31.12.202</w:t>
    </w:r>
    <w:r>
      <w:rPr>
        <w:sz w:val="18"/>
        <w:szCs w:val="18"/>
      </w:rPr>
      <w:t>4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pStyle w:val="Nadpis2"/>
      <w:numFmt w:val="decimal"/>
      <w:lvlText w:val="%1.%2."/>
      <w:lvlJc w:val="left"/>
      <w:pPr>
        <w:tabs>
          <w:tab w:val="num" w:pos="0"/>
        </w:tabs>
        <w:ind w:left="624" w:hanging="624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ListParagraph"/>
    <w:next w:val="Normal"/>
    <w:qFormat/>
    <w:pPr>
      <w:numPr>
        <w:ilvl w:val="0"/>
        <w:numId w:val="1"/>
      </w:numPr>
      <w:spacing w:lineRule="auto" w:line="240" w:before="240" w:after="0"/>
      <w:outlineLvl w:val="0"/>
    </w:pPr>
    <w:rPr>
      <w:rFonts w:cs="Calibri"/>
      <w:b/>
      <w:bCs/>
    </w:rPr>
  </w:style>
  <w:style w:type="paragraph" w:styleId="Nadpis2">
    <w:name w:val="Heading 2"/>
    <w:basedOn w:val="ListParagraph"/>
    <w:next w:val="Normal"/>
    <w:qFormat/>
    <w:pPr>
      <w:numPr>
        <w:ilvl w:val="1"/>
        <w:numId w:val="1"/>
      </w:numPr>
      <w:spacing w:lineRule="auto" w:line="240" w:before="240" w:after="0"/>
      <w:outlineLvl w:val="1"/>
    </w:pPr>
    <w:rPr>
      <w:rFonts w:cs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Pr/>
  </w:style>
  <w:style w:type="character" w:styleId="ZpatChar" w:customStyle="1">
    <w:name w:val="Zápatí Char"/>
    <w:basedOn w:val="DefaultParagraphFont"/>
    <w:qFormat/>
    <w:rPr/>
  </w:style>
  <w:style w:type="character" w:styleId="TextbublinyChar" w:customStyle="1">
    <w:name w:val="Text bubliny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Nadpis1Char" w:customStyle="1">
    <w:name w:val="Nadpis 1 Char"/>
    <w:basedOn w:val="DefaultParagraphFont"/>
    <w:qFormat/>
    <w:rPr>
      <w:rFonts w:cs="Calibri"/>
      <w:b/>
      <w:bCs/>
    </w:rPr>
  </w:style>
  <w:style w:type="character" w:styleId="Nadpis2Char" w:customStyle="1">
    <w:name w:val="Nadpis 2 Char"/>
    <w:basedOn w:val="DefaultParagraphFont"/>
    <w:qFormat/>
    <w:rPr>
      <w:rFonts w:cs="Calibri"/>
      <w:b/>
      <w:bCs/>
    </w:rPr>
  </w:style>
  <w:style w:type="character" w:styleId="BezmezerChar" w:customStyle="1">
    <w:name w:val="Bez mezer Char"/>
    <w:basedOn w:val="DefaultParagraphFont"/>
    <w:qFormat/>
    <w:rPr/>
  </w:style>
  <w:style w:type="character" w:styleId="Internetovodkaz">
    <w:name w:val="Internetový odkaz"/>
    <w:basedOn w:val="DefaultParagraphFont"/>
    <w:rPr>
      <w:color w:val="0000FF"/>
      <w:u w:val="single"/>
    </w:rPr>
  </w:style>
  <w:style w:type="character" w:styleId="Odkaznarejstk">
    <w:name w:val="Odkaz na rejstřík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Obsah1">
    <w:name w:val="TOC 1"/>
    <w:basedOn w:val="Normal"/>
    <w:next w:val="Normal"/>
    <w:autoRedefine/>
    <w:pPr>
      <w:tabs>
        <w:tab w:val="clear" w:pos="708"/>
        <w:tab w:val="left" w:pos="660" w:leader="none"/>
        <w:tab w:val="right" w:pos="9062" w:leader="dot"/>
      </w:tabs>
      <w:spacing w:before="0" w:after="100"/>
    </w:pPr>
    <w:rPr>
      <w:sz w:val="18"/>
      <w:szCs w:val="1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ContentsHeading" w:customStyle="1">
    <w:name w:val="Contents Heading"/>
    <w:basedOn w:val="Nadpis1"/>
    <w:next w:val="Normal"/>
    <w:qFormat/>
    <w:pPr>
      <w:keepNext w:val="true"/>
      <w:keepLines/>
      <w:numPr>
        <w:ilvl w:val="0"/>
        <w:numId w:val="0"/>
      </w:numPr>
      <w:spacing w:lineRule="auto" w:line="276" w:before="480" w:after="200"/>
      <w:ind w:left="720" w:hanging="0"/>
    </w:pPr>
    <w:rPr>
      <w:rFonts w:ascii="Cambria" w:hAnsi="Cambria" w:eastAsia="Times New Roman" w:cs="Times New Roman"/>
      <w:color w:val="365F91"/>
      <w:sz w:val="28"/>
      <w:szCs w:val="28"/>
      <w:lang w:eastAsia="cs-CZ"/>
    </w:rPr>
  </w:style>
  <w:style w:type="paragraph" w:styleId="Contents1" w:customStyle="1">
    <w:name w:val="Contents 1"/>
    <w:basedOn w:val="Normal"/>
    <w:next w:val="Normal"/>
    <w:autoRedefine/>
    <w:qFormat/>
    <w:pPr>
      <w:tabs>
        <w:tab w:val="clear" w:pos="708"/>
        <w:tab w:val="left" w:pos="567" w:leader="none"/>
        <w:tab w:val="right" w:pos="9062" w:leader="dot"/>
      </w:tabs>
      <w:spacing w:lineRule="auto" w:line="240" w:before="0" w:after="100"/>
    </w:pPr>
    <w:rPr>
      <w:sz w:val="18"/>
    </w:rPr>
  </w:style>
  <w:style w:type="paragraph" w:styleId="Obsahtabulky" w:customStyle="1">
    <w:name w:val="Obsah tabulky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OutlineListStyle31" w:customStyle="1">
    <w:name w:val="WW_OutlineListStyle_31"/>
    <w:qFormat/>
  </w:style>
  <w:style w:type="numbering" w:styleId="WWOutlineListStyle30" w:customStyle="1">
    <w:name w:val="WW_OutlineListStyle_30"/>
    <w:qFormat/>
  </w:style>
  <w:style w:type="numbering" w:styleId="WWOutlineListStyle29" w:customStyle="1">
    <w:name w:val="WW_OutlineListStyle_29"/>
    <w:qFormat/>
  </w:style>
  <w:style w:type="numbering" w:styleId="WWOutlineListStyle28" w:customStyle="1">
    <w:name w:val="WW_OutlineListStyle_28"/>
    <w:qFormat/>
  </w:style>
  <w:style w:type="numbering" w:styleId="WWOutlineListStyle27" w:customStyle="1">
    <w:name w:val="WW_OutlineListStyle_27"/>
    <w:qFormat/>
  </w:style>
  <w:style w:type="numbering" w:styleId="WWOutlineListStyle26" w:customStyle="1">
    <w:name w:val="WW_OutlineListStyle_26"/>
    <w:qFormat/>
  </w:style>
  <w:style w:type="numbering" w:styleId="WWOutlineListStyle25" w:customStyle="1">
    <w:name w:val="WW_OutlineListStyle_25"/>
    <w:qFormat/>
  </w:style>
  <w:style w:type="numbering" w:styleId="WWOutlineListStyle24" w:customStyle="1">
    <w:name w:val="WW_OutlineListStyle_24"/>
    <w:qFormat/>
  </w:style>
  <w:style w:type="numbering" w:styleId="WWOutlineListStyle23" w:customStyle="1">
    <w:name w:val="WW_OutlineListStyle_23"/>
    <w:qFormat/>
  </w:style>
  <w:style w:type="numbering" w:styleId="WWOutlineListStyle22" w:customStyle="1">
    <w:name w:val="WW_OutlineListStyle_22"/>
    <w:qFormat/>
  </w:style>
  <w:style w:type="numbering" w:styleId="WWOutlineListStyle21" w:customStyle="1">
    <w:name w:val="WW_OutlineListStyle_21"/>
    <w:qFormat/>
  </w:style>
  <w:style w:type="numbering" w:styleId="WWOutlineListStyle20" w:customStyle="1">
    <w:name w:val="WW_OutlineListStyle_20"/>
    <w:qFormat/>
  </w:style>
  <w:style w:type="numbering" w:styleId="WWOutlineListStyle19" w:customStyle="1">
    <w:name w:val="WW_OutlineListStyle_19"/>
    <w:qFormat/>
  </w:style>
  <w:style w:type="numbering" w:styleId="WWOutlineListStyle18" w:customStyle="1">
    <w:name w:val="WW_OutlineListStyle_18"/>
    <w:qFormat/>
  </w:style>
  <w:style w:type="numbering" w:styleId="WWOutlineListStyle17" w:customStyle="1">
    <w:name w:val="WW_OutlineListStyle_17"/>
    <w:qFormat/>
  </w:style>
  <w:style w:type="numbering" w:styleId="WWOutlineListStyle16" w:customStyle="1">
    <w:name w:val="WW_OutlineListStyle_16"/>
    <w:qFormat/>
  </w:style>
  <w:style w:type="numbering" w:styleId="WWOutlineListStyle15" w:customStyle="1">
    <w:name w:val="WW_OutlineListStyle_15"/>
    <w:qFormat/>
  </w:style>
  <w:style w:type="numbering" w:styleId="WWOutlineListStyle14" w:customStyle="1">
    <w:name w:val="WW_OutlineListStyle_14"/>
    <w:qFormat/>
  </w:style>
  <w:style w:type="numbering" w:styleId="WWOutlineListStyle13" w:customStyle="1">
    <w:name w:val="WW_OutlineListStyle_13"/>
    <w:qFormat/>
  </w:style>
  <w:style w:type="numbering" w:styleId="WWOutlineListStyle12" w:customStyle="1">
    <w:name w:val="WW_OutlineListStyle_12"/>
    <w:qFormat/>
  </w:style>
  <w:style w:type="numbering" w:styleId="WWOutlineListStyle11" w:customStyle="1">
    <w:name w:val="WW_OutlineListStyle_11"/>
    <w:qFormat/>
  </w:style>
  <w:style w:type="numbering" w:styleId="WWOutlineListStyle10" w:customStyle="1">
    <w:name w:val="WW_OutlineListStyle_10"/>
    <w:qFormat/>
  </w:style>
  <w:style w:type="numbering" w:styleId="WWOutlineListStyle9" w:customStyle="1">
    <w:name w:val="WW_OutlineListStyle_9"/>
    <w:qFormat/>
  </w:style>
  <w:style w:type="numbering" w:styleId="WWOutlineListStyle8" w:customStyle="1">
    <w:name w:val="WW_OutlineListStyle_8"/>
    <w:qFormat/>
  </w:style>
  <w:style w:type="numbering" w:styleId="WWOutlineListStyle7" w:customStyle="1">
    <w:name w:val="WW_OutlineListStyle_7"/>
    <w:qFormat/>
  </w:style>
  <w:style w:type="numbering" w:styleId="WWOutlineListStyle6" w:customStyle="1">
    <w:name w:val="WW_OutlineListStyle_6"/>
    <w:qFormat/>
  </w:style>
  <w:style w:type="numbering" w:styleId="WWOutlineListStyle5" w:customStyle="1">
    <w:name w:val="WW_OutlineListStyle_5"/>
    <w:qFormat/>
  </w:style>
  <w:style w:type="numbering" w:styleId="WWOutlineListStyle4" w:customStyle="1">
    <w:name w:val="WW_OutlineListStyle_4"/>
    <w:qFormat/>
  </w:style>
  <w:style w:type="numbering" w:styleId="WWOutlineListStyle3" w:customStyle="1">
    <w:name w:val="WW_OutlineListStyle_3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LibreOffice/7.1.0.3$Windows_X86_64 LibreOffice_project/f6099ecf3d29644b5008cc8f48f42f4a40986e4c</Application>
  <AppVersion>15.0000</AppVersion>
  <Pages>4</Pages>
  <Words>478</Words>
  <Characters>2841</Characters>
  <CharactersWithSpaces>3281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2022-04-24T15:32:00Z</dcterms:created>
  <dc:creator>Ke dni 31. 12. 2010</dc:creator>
  <dc:description/>
  <dc:language>cs-CZ</dc:language>
  <cp:lastModifiedBy/>
  <cp:lastPrinted>2011-06-29T10:13:00Z</cp:lastPrinted>
  <dcterms:modified xsi:type="dcterms:W3CDTF">2025-04-23T19:11:35Z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