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3900" w14:textId="77777777" w:rsidR="007E53A5" w:rsidRDefault="007E53A5" w:rsidP="007E53A5"/>
    <w:p w14:paraId="17C38075" w14:textId="77777777" w:rsidR="007E53A5" w:rsidRDefault="007E53A5" w:rsidP="007E53A5"/>
    <w:p w14:paraId="4223B89C" w14:textId="77777777" w:rsidR="007E53A5" w:rsidRDefault="007E53A5" w:rsidP="007E53A5"/>
    <w:p w14:paraId="6F6E03AC" w14:textId="77777777" w:rsidR="007E53A5" w:rsidRDefault="007E53A5" w:rsidP="007E53A5"/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7E53A5" w14:paraId="5ABCE802" w14:textId="77777777" w:rsidTr="007E53A5">
        <w:trPr>
          <w:trHeight w:val="1002"/>
        </w:trPr>
        <w:tc>
          <w:tcPr>
            <w:tcW w:w="9072" w:type="dxa"/>
            <w:tcBorders>
              <w:top w:val="nil"/>
              <w:left w:val="nil"/>
              <w:bottom w:val="single" w:sz="4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D6DE" w14:textId="77777777" w:rsidR="007E53A5" w:rsidRDefault="007E53A5">
            <w:pPr>
              <w:pStyle w:val="Bezmezer"/>
              <w:spacing w:line="276" w:lineRule="auto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2B32E661" w14:textId="77777777" w:rsidR="007E53A5" w:rsidRDefault="007E53A5">
            <w:pPr>
              <w:pStyle w:val="Bezmezer"/>
              <w:spacing w:line="276" w:lineRule="auto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7E53A5" w14:paraId="34CD8CCF" w14:textId="77777777" w:rsidTr="007E53A5">
        <w:trPr>
          <w:trHeight w:val="720"/>
        </w:trPr>
        <w:tc>
          <w:tcPr>
            <w:tcW w:w="9072" w:type="dxa"/>
            <w:tcBorders>
              <w:top w:val="single" w:sz="4" w:space="0" w:color="4F81BD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8D97" w14:textId="77777777" w:rsidR="007E53A5" w:rsidRDefault="007E53A5">
            <w:pPr>
              <w:pStyle w:val="Bezmezer"/>
              <w:spacing w:line="276" w:lineRule="auto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 xml:space="preserve">Korporace ARROWS tax &amp; </w:t>
            </w:r>
            <w:proofErr w:type="spellStart"/>
            <w:r>
              <w:rPr>
                <w:rFonts w:ascii="Cambria" w:eastAsia="Times New Roman" w:hAnsi="Cambria"/>
                <w:sz w:val="40"/>
                <w:szCs w:val="40"/>
              </w:rPr>
              <w:t>accounting</w:t>
            </w:r>
            <w:proofErr w:type="spellEnd"/>
            <w:r>
              <w:rPr>
                <w:rFonts w:ascii="Cambria" w:eastAsia="Times New Roman" w:hAnsi="Cambria"/>
                <w:sz w:val="40"/>
                <w:szCs w:val="40"/>
              </w:rPr>
              <w:t>, s.r.o.</w:t>
            </w:r>
          </w:p>
        </w:tc>
      </w:tr>
      <w:tr w:rsidR="007E53A5" w14:paraId="240E6061" w14:textId="77777777" w:rsidTr="007E53A5">
        <w:trPr>
          <w:trHeight w:val="8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A875" w14:textId="77777777" w:rsidR="007E53A5" w:rsidRDefault="007E53A5">
            <w:pPr>
              <w:pStyle w:val="Bezmezer"/>
              <w:spacing w:line="276" w:lineRule="auto"/>
            </w:pPr>
          </w:p>
        </w:tc>
      </w:tr>
      <w:tr w:rsidR="007E53A5" w14:paraId="0EBC0083" w14:textId="77777777" w:rsidTr="007E53A5">
        <w:trPr>
          <w:trHeight w:val="36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34D7" w14:textId="601B07EB" w:rsidR="007E53A5" w:rsidRDefault="007E53A5">
            <w:pPr>
              <w:pStyle w:val="Bezmezer"/>
              <w:spacing w:line="276" w:lineRule="auto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ke dni 31.12.202</w:t>
            </w:r>
            <w:r>
              <w:rPr>
                <w:bCs/>
                <w:sz w:val="30"/>
                <w:szCs w:val="30"/>
              </w:rPr>
              <w:t>4</w:t>
            </w:r>
          </w:p>
        </w:tc>
      </w:tr>
      <w:tr w:rsidR="007E53A5" w14:paraId="0411331E" w14:textId="77777777" w:rsidTr="007E53A5">
        <w:trPr>
          <w:trHeight w:val="36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6459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2252A478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577C45EA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5593164C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06CB37DB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3D2A82A8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22E3466B" w14:textId="77777777" w:rsidR="007E53A5" w:rsidRDefault="007E53A5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2E2BAE0" w14:textId="77777777" w:rsidR="007E53A5" w:rsidRDefault="007E53A5" w:rsidP="007E53A5"/>
    <w:p w14:paraId="6F27E6F5" w14:textId="77777777" w:rsidR="007E53A5" w:rsidRDefault="007E53A5" w:rsidP="007E53A5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68D43F0F" w14:textId="77777777" w:rsidR="007E53A5" w:rsidRDefault="007E53A5" w:rsidP="007E53A5">
      <w:pPr>
        <w:spacing w:line="240" w:lineRule="auto"/>
      </w:pPr>
      <w:r>
        <w:t>Podle § 39 vyhlášky č. 500/2002 Sb.:</w:t>
      </w:r>
    </w:p>
    <w:p w14:paraId="31841E9B" w14:textId="77777777" w:rsidR="007E53A5" w:rsidRDefault="007E53A5" w:rsidP="007E53A5">
      <w:pPr>
        <w:spacing w:line="240" w:lineRule="auto"/>
        <w:rPr>
          <w:sz w:val="8"/>
          <w:szCs w:val="8"/>
          <w:lang w:eastAsia="cs-CZ"/>
        </w:rPr>
      </w:pPr>
    </w:p>
    <w:p w14:paraId="3496F953" w14:textId="77777777" w:rsidR="007E53A5" w:rsidRDefault="007E53A5" w:rsidP="007E53A5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r:id="rId7" w:anchor="_Toc438559025" w:history="1">
        <w:r>
          <w:rPr>
            <w:rStyle w:val="Hypertextovodkaz"/>
          </w:rPr>
          <w:t>1.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1EE7B6E7" w14:textId="77777777" w:rsidR="007E53A5" w:rsidRDefault="007E53A5" w:rsidP="007E53A5">
      <w:pPr>
        <w:pStyle w:val="Obsah1"/>
      </w:pPr>
      <w:hyperlink r:id="rId8" w:anchor="_Toc438559026" w:history="1">
        <w:r>
          <w:rPr>
            <w:rStyle w:val="Hypertextovodkaz"/>
          </w:rPr>
          <w:t>2.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14:paraId="3A6075EA" w14:textId="77777777" w:rsidR="007E53A5" w:rsidRDefault="007E53A5" w:rsidP="007E53A5">
      <w:pPr>
        <w:pStyle w:val="Obsah1"/>
      </w:pPr>
      <w:hyperlink r:id="rId9" w:anchor="_Toc438559027" w:history="1">
        <w:r>
          <w:rPr>
            <w:rStyle w:val="Hypertextovodkaz"/>
          </w:rPr>
          <w:t>3.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14:paraId="21985C1D" w14:textId="77777777" w:rsidR="007E53A5" w:rsidRDefault="007E53A5" w:rsidP="007E53A5">
      <w:pPr>
        <w:pStyle w:val="Obsah1"/>
      </w:pPr>
      <w:hyperlink r:id="rId10" w:anchor="_Toc438559028" w:history="1">
        <w:r>
          <w:rPr>
            <w:rStyle w:val="Hypertextovodkaz"/>
          </w:rPr>
          <w:t>4.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6D1290A9" w14:textId="77777777" w:rsidR="007E53A5" w:rsidRDefault="007E53A5" w:rsidP="007E53A5">
      <w:pPr>
        <w:pStyle w:val="Obsah1"/>
      </w:pPr>
      <w:hyperlink r:id="rId11" w:anchor="_Toc438559029" w:history="1">
        <w:r>
          <w:rPr>
            <w:rStyle w:val="Hypertextovodkaz"/>
          </w:rPr>
          <w:t>5.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přepočtený počet zaměstnanců v průběhu účetního období</w:t>
        </w:r>
      </w:hyperlink>
    </w:p>
    <w:p w14:paraId="7C449236" w14:textId="77777777" w:rsidR="007E53A5" w:rsidRDefault="007E53A5" w:rsidP="007E53A5">
      <w:pPr>
        <w:pStyle w:val="Obsah1"/>
      </w:pPr>
      <w:hyperlink r:id="rId12" w:anchor="_Toc438559030" w:history="1">
        <w:r>
          <w:rPr>
            <w:rStyle w:val="Hypertextovodkaz"/>
          </w:rPr>
          <w:t>6.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nabytí vlastních akcií nebo vlastních podílů</w:t>
        </w:r>
      </w:hyperlink>
    </w:p>
    <w:p w14:paraId="6DAA1454" w14:textId="77777777" w:rsidR="007E53A5" w:rsidRDefault="007E53A5" w:rsidP="007E53A5">
      <w:pPr>
        <w:pStyle w:val="Obsah1"/>
      </w:pPr>
      <w:hyperlink r:id="rId13" w:anchor="_Toc438559031" w:history="1">
        <w:r>
          <w:rPr>
            <w:rStyle w:val="Hypertextovodkaz"/>
          </w:rPr>
          <w:t>7.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14:paraId="30DADE51" w14:textId="77777777" w:rsidR="007E53A5" w:rsidRDefault="007E53A5" w:rsidP="007E53A5">
      <w:pPr>
        <w:pStyle w:val="Obsah1"/>
      </w:pPr>
      <w:r>
        <w:rPr>
          <w:color w:val="0000FF"/>
          <w:u w:val="single"/>
        </w:rPr>
        <w:fldChar w:fldCharType="end"/>
      </w:r>
    </w:p>
    <w:p w14:paraId="578F9062" w14:textId="77777777" w:rsidR="007E53A5" w:rsidRDefault="007E53A5" w:rsidP="007E53A5"/>
    <w:p w14:paraId="39A2D9F7" w14:textId="77777777" w:rsidR="007E53A5" w:rsidRDefault="007E53A5" w:rsidP="007E53A5"/>
    <w:p w14:paraId="3790B4D1" w14:textId="77777777" w:rsidR="007E53A5" w:rsidRDefault="007E53A5" w:rsidP="007E53A5"/>
    <w:p w14:paraId="457598D5" w14:textId="77777777" w:rsidR="007E53A5" w:rsidRDefault="007E53A5" w:rsidP="007E53A5"/>
    <w:p w14:paraId="4B74F43A" w14:textId="77777777" w:rsidR="007E53A5" w:rsidRDefault="007E53A5" w:rsidP="007E53A5"/>
    <w:p w14:paraId="60CA2E88" w14:textId="77777777" w:rsidR="007E53A5" w:rsidRDefault="007E53A5" w:rsidP="007E53A5">
      <w:pPr>
        <w:pStyle w:val="Nadpis1"/>
        <w:numPr>
          <w:ilvl w:val="0"/>
          <w:numId w:val="34"/>
        </w:numPr>
        <w:textAlignment w:val="auto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476812F6" w14:textId="77777777" w:rsidR="007E53A5" w:rsidRDefault="007E53A5" w:rsidP="007E53A5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7EAC555C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ARROWS tax &amp; </w:t>
      </w:r>
      <w:proofErr w:type="spellStart"/>
      <w:r>
        <w:rPr>
          <w:rFonts w:cs="Calibri"/>
        </w:rPr>
        <w:t>accounting</w:t>
      </w:r>
      <w:proofErr w:type="spellEnd"/>
      <w:r>
        <w:rPr>
          <w:rFonts w:cs="Calibri"/>
        </w:rPr>
        <w:t>, s.r.o.</w:t>
      </w:r>
    </w:p>
    <w:p w14:paraId="34539D23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Plzeňská 3350/18, Smíchov, 150 00 Praha 5</w:t>
      </w:r>
    </w:p>
    <w:p w14:paraId="06C02527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s.r.o.</w:t>
      </w:r>
    </w:p>
    <w:p w14:paraId="145E100E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06439977</w:t>
      </w:r>
    </w:p>
    <w:p w14:paraId="779A961D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Daňové poradenství</w:t>
      </w:r>
    </w:p>
    <w:p w14:paraId="007DDD1C" w14:textId="77777777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  <w:t>15.9.2017</w:t>
      </w:r>
    </w:p>
    <w:p w14:paraId="77983756" w14:textId="596877E6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</w:t>
      </w:r>
      <w:r>
        <w:rPr>
          <w:rFonts w:cs="Calibri"/>
        </w:rPr>
        <w:t>4</w:t>
      </w:r>
      <w:r>
        <w:rPr>
          <w:rFonts w:cs="Calibri"/>
        </w:rPr>
        <w:t xml:space="preserve"> do 31.12.202</w:t>
      </w:r>
      <w:r>
        <w:rPr>
          <w:rFonts w:cs="Calibri"/>
        </w:rPr>
        <w:t>4</w:t>
      </w:r>
    </w:p>
    <w:p w14:paraId="258FD8FA" w14:textId="1E9A2033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</w:t>
      </w:r>
      <w:r>
        <w:rPr>
          <w:rFonts w:cs="Calibri"/>
        </w:rPr>
        <w:t>4</w:t>
      </w:r>
    </w:p>
    <w:p w14:paraId="1A83C211" w14:textId="73324C13" w:rsidR="007E53A5" w:rsidRDefault="007E53A5" w:rsidP="007E53A5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>2.5</w:t>
      </w:r>
      <w:r>
        <w:rPr>
          <w:rFonts w:cs="Calibri"/>
        </w:rPr>
        <w:t>.202</w:t>
      </w:r>
      <w:r>
        <w:rPr>
          <w:rFonts w:cs="Calibri"/>
        </w:rPr>
        <w:t>5</w:t>
      </w:r>
    </w:p>
    <w:p w14:paraId="4BB8D872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0D547831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7C939D0E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45FD1733" w14:textId="77777777" w:rsidR="007E53A5" w:rsidRDefault="007E53A5" w:rsidP="007E53A5">
      <w:pPr>
        <w:pStyle w:val="Odstavecseseznamem"/>
        <w:numPr>
          <w:ilvl w:val="0"/>
          <w:numId w:val="36"/>
        </w:numPr>
        <w:autoSpaceDE w:val="0"/>
        <w:spacing w:after="0" w:line="240" w:lineRule="auto"/>
        <w:textAlignment w:val="auto"/>
        <w:outlineLvl w:val="0"/>
        <w:rPr>
          <w:rFonts w:cs="Calibri"/>
          <w:b/>
          <w:bCs/>
          <w:vanish/>
        </w:rPr>
      </w:pPr>
      <w:bookmarkStart w:id="24" w:name="_Toc438559026"/>
      <w:bookmarkStart w:id="25" w:name="_Toc438557858"/>
      <w:bookmarkStart w:id="26" w:name="_Toc438216069"/>
    </w:p>
    <w:p w14:paraId="196FD5C6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r>
        <w:t>Použité obecné účetní zásady, účetní metody a odchylky od těchto metod</w:t>
      </w:r>
      <w:bookmarkEnd w:id="24"/>
      <w:bookmarkEnd w:id="25"/>
      <w:bookmarkEnd w:id="26"/>
    </w:p>
    <w:p w14:paraId="7268C306" w14:textId="77777777" w:rsidR="007E53A5" w:rsidRDefault="007E53A5" w:rsidP="007E53A5">
      <w:pPr>
        <w:autoSpaceDE w:val="0"/>
        <w:spacing w:after="0" w:line="240" w:lineRule="auto"/>
        <w:rPr>
          <w:rFonts w:cs="Calibri"/>
          <w:b/>
          <w:bCs/>
        </w:rPr>
      </w:pPr>
    </w:p>
    <w:p w14:paraId="380EC2ED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Použité obecné účetní metody a zásady</w:t>
      </w:r>
    </w:p>
    <w:p w14:paraId="2958E0C8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1B41499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 používá pouze účetní metody a postupy stanovené vyhláškou č. 500/2002 Sb. v platném znění a Českými účetními standardy pro podnikatele. Společnost nepoužívá zvláštní metody, které by nebyly popsány níže a měly vliv na posouzení situace společnosti. </w:t>
      </w:r>
    </w:p>
    <w:p w14:paraId="0487176A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D99EB37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24E16F2E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772F526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Společnost neuplatňuje odchylky od metod podle § 7 odst. 5 zákona o účetnictví.</w:t>
      </w:r>
    </w:p>
    <w:p w14:paraId="1033B0EA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A16A919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Způsob oceňování majetku a závazků</w:t>
      </w:r>
    </w:p>
    <w:p w14:paraId="4261DE60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F9CEEDA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Účtování zásob </w:t>
      </w:r>
    </w:p>
    <w:p w14:paraId="02840335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vzhledem ke své podnikatelské činnosti o zásobách neúčtuje</w:t>
      </w:r>
    </w:p>
    <w:p w14:paraId="1D7BABD9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C7C6207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Ocenění dlouhodobého hmotného a nehmotného majetku vytvořeného vlastní činností</w:t>
      </w:r>
    </w:p>
    <w:p w14:paraId="3AC967E2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ve sledovaném období nevytvářela vlastní činností žádný dlouhodobý hmotný ani nehmotný majetek</w:t>
      </w:r>
    </w:p>
    <w:p w14:paraId="5BA30B90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8FF7193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Ocenění cenných papírů a podílů</w:t>
      </w:r>
    </w:p>
    <w:p w14:paraId="1AB4DB36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společnost vlastní 100% obchodní podíl ve společnosti ARROWS </w:t>
      </w:r>
      <w:proofErr w:type="spellStart"/>
      <w:r>
        <w:rPr>
          <w:rFonts w:cs="Calibri"/>
          <w:bCs/>
        </w:rPr>
        <w:t>small</w:t>
      </w:r>
      <w:proofErr w:type="spellEnd"/>
      <w:r>
        <w:rPr>
          <w:rFonts w:cs="Calibri"/>
          <w:bCs/>
        </w:rPr>
        <w:t xml:space="preserve"> business, s.r.o. Obchodní podíl je oceněn pořizovací cenou. K datu účetní závěrky je obchodní podíl přeceněn reálnou hodnotou.</w:t>
      </w:r>
    </w:p>
    <w:p w14:paraId="274A730C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společnost vlastní 100% obchodní podíl ve společnosti ARROWS business </w:t>
      </w:r>
      <w:proofErr w:type="spellStart"/>
      <w:r>
        <w:rPr>
          <w:rFonts w:cs="Calibri"/>
          <w:bCs/>
        </w:rPr>
        <w:t>analytics</w:t>
      </w:r>
      <w:proofErr w:type="spellEnd"/>
      <w:r>
        <w:rPr>
          <w:rFonts w:cs="Calibri"/>
          <w:bCs/>
        </w:rPr>
        <w:t>, s.r.o. Obchodní podíl je oceněn pořizovací cenou. K datu účetní závěrky je obchodní podíl přeceněn reálnou hodnotou.</w:t>
      </w:r>
    </w:p>
    <w:p w14:paraId="6E2C5153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vlastní 100% obchodní podíl ve společnosti ARROWS TAX NORTH s.r.o. Obchodní podíl je oceněn pořizovací cenou. K datu účetní závěrky je obchodní podíl přeceněn reálnou hodnotou.</w:t>
      </w:r>
    </w:p>
    <w:p w14:paraId="3538BF4F" w14:textId="77777777" w:rsidR="007E53A5" w:rsidRDefault="007E53A5" w:rsidP="007E53A5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5D1011BD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C8569E8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53CD8DA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>Ocenění příchovků a přírůstků zvířat</w:t>
      </w:r>
    </w:p>
    <w:p w14:paraId="7A57E86D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vzhledem ke své podnikatelské činnosti neúčtuje o této oblasti</w:t>
      </w:r>
    </w:p>
    <w:p w14:paraId="197C9782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BCD1E15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Způsob stanovení reprodukční pořizovací ceny</w:t>
      </w:r>
    </w:p>
    <w:p w14:paraId="6707ECE2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nemá žádný majetek oceňovaný reprodukční pořizovací cenou</w:t>
      </w:r>
    </w:p>
    <w:p w14:paraId="36179177" w14:textId="77777777" w:rsidR="007E53A5" w:rsidRDefault="007E53A5" w:rsidP="007E53A5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41344345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Změny oceňování, odpisování a postupů účtování</w:t>
      </w:r>
    </w:p>
    <w:p w14:paraId="0D057B05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ve sledovaném účetním období nedošlo v účetní jednotce k žádným změnám</w:t>
      </w:r>
    </w:p>
    <w:p w14:paraId="264D3733" w14:textId="77777777" w:rsidR="007E53A5" w:rsidRDefault="007E53A5" w:rsidP="007E53A5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7B4B64D5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Způsob stanovení úprav hodnot majetku (odpisy a opravné položky)</w:t>
      </w:r>
    </w:p>
    <w:p w14:paraId="16684042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875E7A3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Odpisování majetku</w:t>
      </w:r>
    </w:p>
    <w:p w14:paraId="1E4432E1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odpisový plán účetních odpisů dlouhodobého hmotného majetku účetní jednotka sestavila v interním předpisu tak, že za základ vzala metody používané při vyčíslování daňových odpisů (u majetku pořízeného a zařazeného k 1.1.), účetní a daňové odpisy se rovnají</w:t>
      </w:r>
    </w:p>
    <w:p w14:paraId="3960B356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DCCBCAA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Systém odpisování drobného dlouhodobého majetku</w:t>
      </w:r>
    </w:p>
    <w:p w14:paraId="426E981B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7CE0F30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drobný dlouhodobý hmotný majetek do 79 999,- Kč je účtován do nákladů společnosti na účet 501 Spotřeba materiálu</w:t>
      </w:r>
    </w:p>
    <w:p w14:paraId="272973F0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C518D4F" w14:textId="77777777" w:rsidR="007E53A5" w:rsidRDefault="007E53A5" w:rsidP="007E53A5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drobný dlouhodobý nehmotný majetek do 59 999,- Kč se účtuje na účet 518 Ostatní služby</w:t>
      </w:r>
    </w:p>
    <w:p w14:paraId="5FA708B5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605EF15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Společnost tvořila ve sledovaném účetním období účetní opravné položky k pohledávkám, kdy za základ vzala metody pro tvorbu daňových opravných položek tvořených dle zákona o rezervách.</w:t>
      </w:r>
    </w:p>
    <w:p w14:paraId="4CB1BE9D" w14:textId="77777777" w:rsidR="007E53A5" w:rsidRDefault="007E53A5" w:rsidP="007E53A5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59EA5989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Způsob přepočtu údajů v cizích měnách na českou měnu</w:t>
      </w:r>
    </w:p>
    <w:p w14:paraId="0E79C812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0FD1235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Při přepočtu cizích měn na českou měnu používá společnost aktuální denní kurz vyhlášený ČNB. </w:t>
      </w:r>
    </w:p>
    <w:p w14:paraId="37B079E2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840AC0C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Stanovení reálné hodnoty majetku a závazků</w:t>
      </w:r>
    </w:p>
    <w:p w14:paraId="3414ECC7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</w:p>
    <w:p w14:paraId="21CC4C69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Ve sledovaném období společnost nepoužila ocenění reálnou hodnotou.</w:t>
      </w:r>
    </w:p>
    <w:p w14:paraId="359C21E0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</w:p>
    <w:p w14:paraId="41CC5E06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Použitý oceňovací model a technika při ocenění reálnou hodnotou</w:t>
      </w:r>
    </w:p>
    <w:p w14:paraId="583FE93D" w14:textId="77777777" w:rsidR="007E53A5" w:rsidRDefault="007E53A5" w:rsidP="007E53A5">
      <w:pPr>
        <w:autoSpaceDE w:val="0"/>
        <w:spacing w:after="0"/>
        <w:rPr>
          <w:rFonts w:cs="Calibri"/>
          <w:bCs/>
        </w:rPr>
      </w:pPr>
    </w:p>
    <w:p w14:paraId="26E3B9EE" w14:textId="77777777" w:rsidR="007E53A5" w:rsidRDefault="007E53A5" w:rsidP="007E53A5">
      <w:pPr>
        <w:autoSpaceDE w:val="0"/>
        <w:spacing w:after="0"/>
        <w:rPr>
          <w:rFonts w:cs="Calibri"/>
          <w:bCs/>
        </w:rPr>
      </w:pPr>
      <w:r>
        <w:rPr>
          <w:rFonts w:cs="Calibri"/>
          <w:bCs/>
        </w:rPr>
        <w:t>Ve sledovaném období společnost nepoužila ocenění reálnou hodnotou.</w:t>
      </w:r>
    </w:p>
    <w:p w14:paraId="0960A11A" w14:textId="77777777" w:rsidR="007E53A5" w:rsidRDefault="007E53A5" w:rsidP="007E53A5">
      <w:pPr>
        <w:autoSpaceDE w:val="0"/>
        <w:spacing w:after="0"/>
        <w:rPr>
          <w:rFonts w:cs="Calibri"/>
          <w:bCs/>
        </w:rPr>
      </w:pPr>
    </w:p>
    <w:p w14:paraId="5B111A6A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bookmarkStart w:id="27" w:name="_Toc438559027"/>
      <w:bookmarkStart w:id="28" w:name="_Toc438557859"/>
      <w:bookmarkStart w:id="29" w:name="_Toc438216070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3A2F48A6" w14:textId="77777777" w:rsidR="007E53A5" w:rsidRDefault="007E53A5" w:rsidP="007E53A5">
      <w:pPr>
        <w:autoSpaceDE w:val="0"/>
        <w:spacing w:after="0" w:line="240" w:lineRule="auto"/>
        <w:rPr>
          <w:rFonts w:cs="Calibri"/>
          <w:b/>
          <w:bCs/>
        </w:rPr>
      </w:pPr>
    </w:p>
    <w:p w14:paraId="4302D09C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Závazkové vztahy (pohledávky a dluhy), které k rozvahovému dni mají dobu splatnosti delší než 5 let</w:t>
      </w:r>
    </w:p>
    <w:p w14:paraId="5E09D560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</w:p>
    <w:p w14:paraId="3A4BA283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Společnost neeviduje žádné pohledávky a dluhy, které k rozvahovému dni mají dobu splatnosti delší než 5 let.</w:t>
      </w:r>
    </w:p>
    <w:p w14:paraId="02A63EE1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</w:p>
    <w:p w14:paraId="3EC6F58F" w14:textId="77777777" w:rsidR="007E53A5" w:rsidRDefault="007E53A5" w:rsidP="007E53A5">
      <w:pPr>
        <w:autoSpaceDE w:val="0"/>
        <w:spacing w:after="0"/>
        <w:jc w:val="both"/>
        <w:rPr>
          <w:rFonts w:cs="Calibri"/>
          <w:bCs/>
        </w:rPr>
      </w:pPr>
    </w:p>
    <w:p w14:paraId="71C75527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lastRenderedPageBreak/>
        <w:t>Závazkové vztahy (pohledávky a dluhy), které jsou kryty věcnými zárukami</w:t>
      </w:r>
    </w:p>
    <w:p w14:paraId="071AA0B9" w14:textId="77777777" w:rsidR="007E53A5" w:rsidRDefault="007E53A5" w:rsidP="007E53A5">
      <w:pPr>
        <w:spacing w:after="0"/>
        <w:rPr>
          <w:rFonts w:cs="Calibri"/>
        </w:rPr>
      </w:pPr>
    </w:p>
    <w:p w14:paraId="23948DE2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neeviduje žádné pohledávky a dluhy, které jsou kryty věcnými zárukami.</w:t>
      </w:r>
    </w:p>
    <w:p w14:paraId="1513E52E" w14:textId="77777777" w:rsidR="007E53A5" w:rsidRDefault="007E53A5" w:rsidP="007E53A5">
      <w:pPr>
        <w:spacing w:after="0"/>
        <w:rPr>
          <w:rFonts w:cs="Calibri"/>
        </w:rPr>
      </w:pPr>
    </w:p>
    <w:p w14:paraId="374BD387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Zálohy, závdavky, zápůjčky a úvěry poskytnuté členům řídících, kontrolních a případně správních orgánů</w:t>
      </w:r>
    </w:p>
    <w:p w14:paraId="72FEB642" w14:textId="77777777" w:rsidR="007E53A5" w:rsidRDefault="007E53A5" w:rsidP="007E53A5">
      <w:pPr>
        <w:spacing w:after="0"/>
        <w:rPr>
          <w:rFonts w:cs="Calibri"/>
        </w:rPr>
      </w:pPr>
    </w:p>
    <w:p w14:paraId="30A30879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neposkytla členům řídících, kontrolních a správních orgánů žádné závdavky, zápůjčky ani úvěry.</w:t>
      </w:r>
    </w:p>
    <w:p w14:paraId="7988E597" w14:textId="77777777" w:rsidR="007E53A5" w:rsidRDefault="007E53A5" w:rsidP="007E53A5">
      <w:pPr>
        <w:spacing w:after="0"/>
        <w:rPr>
          <w:rFonts w:cs="Calibri"/>
        </w:rPr>
      </w:pPr>
    </w:p>
    <w:p w14:paraId="13DCD7AE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Závazkové vztahy (pohledávky a dluhy), podmíněné závazkové vztahy a poskytnuté věcné záruky, které nejsou vykázány v rozvaze</w:t>
      </w:r>
    </w:p>
    <w:p w14:paraId="1A4AF193" w14:textId="77777777" w:rsidR="007E53A5" w:rsidRDefault="007E53A5" w:rsidP="007E53A5">
      <w:pPr>
        <w:spacing w:after="0"/>
        <w:rPr>
          <w:rFonts w:cs="Calibri"/>
        </w:rPr>
      </w:pPr>
    </w:p>
    <w:p w14:paraId="48225331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neeviduje žádné závazkové vztahy, podmíněné závazkové vztahy a poskytnuté věcné záruky.</w:t>
      </w:r>
    </w:p>
    <w:p w14:paraId="67DE60E1" w14:textId="77777777" w:rsidR="007E53A5" w:rsidRDefault="007E53A5" w:rsidP="007E53A5">
      <w:pPr>
        <w:spacing w:after="0"/>
        <w:rPr>
          <w:rFonts w:cs="Calibri"/>
        </w:rPr>
      </w:pPr>
    </w:p>
    <w:p w14:paraId="59378F06" w14:textId="77777777" w:rsidR="007E53A5" w:rsidRDefault="007E53A5" w:rsidP="007E53A5">
      <w:pPr>
        <w:pStyle w:val="Nadpis2"/>
        <w:numPr>
          <w:ilvl w:val="1"/>
          <w:numId w:val="36"/>
        </w:numPr>
        <w:textAlignment w:val="auto"/>
      </w:pPr>
      <w:r>
        <w:t>Penzijní závazky a závazky vůči účetním jednotkám v konsolidačním celku a přidruženým účetním jednotkám</w:t>
      </w:r>
    </w:p>
    <w:p w14:paraId="4376B99D" w14:textId="77777777" w:rsidR="007E53A5" w:rsidRDefault="007E53A5" w:rsidP="007E53A5">
      <w:pPr>
        <w:spacing w:after="0"/>
        <w:rPr>
          <w:rFonts w:cs="Calibri"/>
        </w:rPr>
      </w:pPr>
    </w:p>
    <w:p w14:paraId="3CBB8D1C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neeviduje žádné penzijní závazky a závazky vůči účetním jednotkám v konsolidačním celku a přidruženým účetním jednotkám.</w:t>
      </w:r>
    </w:p>
    <w:p w14:paraId="0221332F" w14:textId="77777777" w:rsidR="007E53A5" w:rsidRDefault="007E53A5" w:rsidP="007E53A5">
      <w:pPr>
        <w:spacing w:after="0"/>
        <w:rPr>
          <w:rFonts w:cs="Calibri"/>
        </w:rPr>
      </w:pPr>
    </w:p>
    <w:p w14:paraId="4EB5348A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bookmarkStart w:id="30" w:name="_Toc438559028"/>
      <w:bookmarkStart w:id="31" w:name="_Toc438557860"/>
      <w:bookmarkStart w:id="32" w:name="_Toc438216071"/>
      <w:r>
        <w:t>Výše a povaha jednotlivých položek výnosů a nákladů, které jsou mimořádné svým objemem nebo původem</w:t>
      </w:r>
      <w:bookmarkEnd w:id="30"/>
      <w:bookmarkEnd w:id="31"/>
      <w:bookmarkEnd w:id="32"/>
    </w:p>
    <w:p w14:paraId="18AD8142" w14:textId="77777777" w:rsidR="007E53A5" w:rsidRDefault="007E53A5" w:rsidP="007E53A5">
      <w:pPr>
        <w:spacing w:after="0"/>
        <w:rPr>
          <w:rFonts w:cs="Calibri"/>
        </w:rPr>
      </w:pPr>
    </w:p>
    <w:p w14:paraId="53447367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neeviduje žádné významné položky výnosů a nákladů, které jsou svým objemem nebo původem mimořádné.</w:t>
      </w:r>
    </w:p>
    <w:p w14:paraId="040C19A1" w14:textId="77777777" w:rsidR="007E53A5" w:rsidRDefault="007E53A5" w:rsidP="007E53A5">
      <w:pPr>
        <w:spacing w:after="0"/>
        <w:rPr>
          <w:rFonts w:cs="Calibri"/>
        </w:rPr>
      </w:pPr>
    </w:p>
    <w:p w14:paraId="5F3FD57B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bookmarkStart w:id="33" w:name="_Toc438559029"/>
      <w:bookmarkStart w:id="34" w:name="_Toc438557861"/>
      <w:bookmarkStart w:id="35" w:name="_Toc438216072"/>
      <w:r>
        <w:t>Průměrný přepočtený počet zaměstnanců v průběhu účetního období</w:t>
      </w:r>
      <w:bookmarkEnd w:id="33"/>
      <w:bookmarkEnd w:id="34"/>
      <w:bookmarkEnd w:id="35"/>
      <w:r>
        <w:t xml:space="preserve"> </w:t>
      </w:r>
    </w:p>
    <w:p w14:paraId="2EEDBF07" w14:textId="77777777" w:rsidR="007E53A5" w:rsidRDefault="007E53A5" w:rsidP="007E53A5">
      <w:pPr>
        <w:spacing w:after="0"/>
        <w:rPr>
          <w:rFonts w:cs="Calibri"/>
        </w:rPr>
      </w:pPr>
    </w:p>
    <w:p w14:paraId="71C6463B" w14:textId="13C4B16C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 xml:space="preserve">Společnost měla ve sledovaném období </w:t>
      </w:r>
      <w:r>
        <w:rPr>
          <w:rFonts w:cs="Calibri"/>
        </w:rPr>
        <w:t>6</w:t>
      </w:r>
      <w:r>
        <w:rPr>
          <w:rFonts w:cs="Calibri"/>
        </w:rPr>
        <w:t xml:space="preserve"> zaměstnanců.</w:t>
      </w:r>
    </w:p>
    <w:p w14:paraId="5E814BB4" w14:textId="77777777" w:rsidR="007E53A5" w:rsidRDefault="007E53A5" w:rsidP="007E53A5">
      <w:pPr>
        <w:spacing w:after="0"/>
        <w:rPr>
          <w:rFonts w:cs="Calibri"/>
        </w:rPr>
      </w:pPr>
    </w:p>
    <w:p w14:paraId="2142256A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bookmarkStart w:id="36" w:name="_Toc438559030"/>
      <w:r>
        <w:t>Informace o nabytí vlastních akcií nebo vlastních podílů</w:t>
      </w:r>
      <w:bookmarkEnd w:id="36"/>
    </w:p>
    <w:p w14:paraId="01A21201" w14:textId="77777777" w:rsidR="007E53A5" w:rsidRDefault="007E53A5" w:rsidP="007E53A5">
      <w:pPr>
        <w:spacing w:after="0"/>
        <w:rPr>
          <w:rFonts w:cs="Calibri"/>
        </w:rPr>
      </w:pPr>
    </w:p>
    <w:p w14:paraId="41995035" w14:textId="77777777" w:rsidR="007E53A5" w:rsidRDefault="007E53A5" w:rsidP="007E53A5">
      <w:pPr>
        <w:spacing w:after="0"/>
        <w:rPr>
          <w:rFonts w:cs="Calibri"/>
        </w:rPr>
      </w:pPr>
      <w:r>
        <w:rPr>
          <w:rFonts w:cs="Calibri"/>
        </w:rPr>
        <w:t>Společnost nepořizovala žádné vlastní akcie nebo vlastní podíly.</w:t>
      </w:r>
    </w:p>
    <w:p w14:paraId="31A6E2AA" w14:textId="77777777" w:rsidR="007E53A5" w:rsidRDefault="007E53A5" w:rsidP="007E53A5">
      <w:pPr>
        <w:spacing w:after="0"/>
        <w:rPr>
          <w:rFonts w:cs="Calibri"/>
        </w:rPr>
      </w:pPr>
    </w:p>
    <w:p w14:paraId="6A5257CA" w14:textId="77777777" w:rsidR="007E53A5" w:rsidRDefault="007E53A5" w:rsidP="007E53A5">
      <w:pPr>
        <w:pStyle w:val="Nadpis1"/>
        <w:numPr>
          <w:ilvl w:val="0"/>
          <w:numId w:val="36"/>
        </w:numPr>
        <w:textAlignment w:val="auto"/>
      </w:pPr>
      <w:bookmarkStart w:id="37" w:name="_Toc438559031"/>
      <w:bookmarkStart w:id="38" w:name="_Toc438557862"/>
      <w:bookmarkStart w:id="39" w:name="_Toc438216082"/>
      <w:r>
        <w:t>Významné události mezi rozvahovým dnem a okamžikem sestavení účetní závěrky</w:t>
      </w:r>
      <w:bookmarkEnd w:id="37"/>
      <w:bookmarkEnd w:id="38"/>
      <w:bookmarkEnd w:id="39"/>
    </w:p>
    <w:p w14:paraId="73FEDDE3" w14:textId="77777777" w:rsidR="007E53A5" w:rsidRDefault="007E53A5" w:rsidP="007E53A5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39330D3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Mezi rozvahovým dnes a okamžikem sestavení účetní závěrky nenastaly žádné významné události.</w:t>
      </w:r>
    </w:p>
    <w:p w14:paraId="10C4BCBD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668946F8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3B748DA8" w14:textId="17404AE1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>
        <w:rPr>
          <w:rFonts w:cs="Calibri"/>
          <w:bCs/>
        </w:rPr>
        <w:t>2</w:t>
      </w:r>
      <w:r>
        <w:rPr>
          <w:rFonts w:cs="Calibri"/>
          <w:bCs/>
        </w:rPr>
        <w:t>.</w:t>
      </w:r>
      <w:r>
        <w:rPr>
          <w:rFonts w:cs="Calibri"/>
          <w:bCs/>
        </w:rPr>
        <w:t>5</w:t>
      </w:r>
      <w:r>
        <w:rPr>
          <w:rFonts w:cs="Calibri"/>
          <w:bCs/>
        </w:rPr>
        <w:t>.202</w:t>
      </w:r>
      <w:r>
        <w:rPr>
          <w:rFonts w:cs="Calibri"/>
          <w:bCs/>
        </w:rPr>
        <w:t>5</w:t>
      </w:r>
    </w:p>
    <w:p w14:paraId="016B3FA6" w14:textId="77777777" w:rsidR="007E53A5" w:rsidRDefault="007E53A5" w:rsidP="007E53A5">
      <w:pPr>
        <w:autoSpaceDE w:val="0"/>
        <w:spacing w:after="0" w:line="240" w:lineRule="auto"/>
        <w:rPr>
          <w:rFonts w:cs="Calibri"/>
          <w:bCs/>
        </w:rPr>
      </w:pPr>
    </w:p>
    <w:p w14:paraId="0807CFCA" w14:textId="513177A3" w:rsidR="00E46940" w:rsidRPr="007E53A5" w:rsidRDefault="007E53A5" w:rsidP="007E53A5">
      <w:pPr>
        <w:autoSpaceDE w:val="0"/>
        <w:spacing w:after="0" w:line="240" w:lineRule="auto"/>
      </w:pPr>
      <w:r>
        <w:rPr>
          <w:rFonts w:cs="Calibri"/>
          <w:bCs/>
        </w:rPr>
        <w:t>Sestavil: Tomáš Čech</w:t>
      </w:r>
    </w:p>
    <w:sectPr w:rsidR="00E46940" w:rsidRPr="007E53A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8ED5" w14:textId="77777777" w:rsidR="00792A5D" w:rsidRDefault="00792A5D">
      <w:pPr>
        <w:spacing w:after="0" w:line="240" w:lineRule="auto"/>
      </w:pPr>
      <w:r>
        <w:separator/>
      </w:r>
    </w:p>
  </w:endnote>
  <w:endnote w:type="continuationSeparator" w:id="0">
    <w:p w14:paraId="412DCED8" w14:textId="77777777" w:rsidR="00792A5D" w:rsidRDefault="0079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4FCE" w14:textId="77777777" w:rsidR="00000000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5E15434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3D4A" w14:textId="77777777" w:rsidR="00792A5D" w:rsidRDefault="00792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A1704A" w14:textId="77777777" w:rsidR="00792A5D" w:rsidRDefault="0079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A360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71B88518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 xml:space="preserve">Korporace ARROWS tax &amp; </w:t>
    </w:r>
    <w:proofErr w:type="spellStart"/>
    <w:r>
      <w:rPr>
        <w:sz w:val="18"/>
        <w:szCs w:val="18"/>
      </w:rPr>
      <w:t>accounting</w:t>
    </w:r>
    <w:proofErr w:type="spellEnd"/>
    <w:r>
      <w:rPr>
        <w:sz w:val="18"/>
        <w:szCs w:val="18"/>
      </w:rPr>
      <w:t xml:space="preserve"> s.r.o.</w:t>
    </w:r>
  </w:p>
  <w:p w14:paraId="4ED6E739" w14:textId="77777777" w:rsidR="00000000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31.12.2024</w:t>
    </w:r>
  </w:p>
  <w:p w14:paraId="25715924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E8013E"/>
    <w:multiLevelType w:val="multilevel"/>
    <w:tmpl w:val="B62E72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3D44C3"/>
    <w:multiLevelType w:val="multilevel"/>
    <w:tmpl w:val="61CE7680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2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57926265">
    <w:abstractNumId w:val="16"/>
  </w:num>
  <w:num w:numId="2" w16cid:durableId="2015299269">
    <w:abstractNumId w:val="20"/>
  </w:num>
  <w:num w:numId="3" w16cid:durableId="1909994577">
    <w:abstractNumId w:val="15"/>
  </w:num>
  <w:num w:numId="4" w16cid:durableId="824708586">
    <w:abstractNumId w:val="30"/>
  </w:num>
  <w:num w:numId="5" w16cid:durableId="621422593">
    <w:abstractNumId w:val="31"/>
  </w:num>
  <w:num w:numId="6" w16cid:durableId="1387608403">
    <w:abstractNumId w:val="13"/>
  </w:num>
  <w:num w:numId="7" w16cid:durableId="1258949613">
    <w:abstractNumId w:val="19"/>
  </w:num>
  <w:num w:numId="8" w16cid:durableId="955403679">
    <w:abstractNumId w:val="0"/>
  </w:num>
  <w:num w:numId="9" w16cid:durableId="496771528">
    <w:abstractNumId w:val="8"/>
  </w:num>
  <w:num w:numId="10" w16cid:durableId="46145105">
    <w:abstractNumId w:val="23"/>
  </w:num>
  <w:num w:numId="11" w16cid:durableId="1685395568">
    <w:abstractNumId w:val="7"/>
  </w:num>
  <w:num w:numId="12" w16cid:durableId="321616469">
    <w:abstractNumId w:val="4"/>
  </w:num>
  <w:num w:numId="13" w16cid:durableId="1265648231">
    <w:abstractNumId w:val="1"/>
  </w:num>
  <w:num w:numId="14" w16cid:durableId="1855728548">
    <w:abstractNumId w:val="10"/>
  </w:num>
  <w:num w:numId="15" w16cid:durableId="1113477966">
    <w:abstractNumId w:val="6"/>
  </w:num>
  <w:num w:numId="16" w16cid:durableId="254558278">
    <w:abstractNumId w:val="21"/>
  </w:num>
  <w:num w:numId="17" w16cid:durableId="374622959">
    <w:abstractNumId w:val="27"/>
  </w:num>
  <w:num w:numId="18" w16cid:durableId="24915822">
    <w:abstractNumId w:val="5"/>
  </w:num>
  <w:num w:numId="19" w16cid:durableId="1235894851">
    <w:abstractNumId w:val="25"/>
  </w:num>
  <w:num w:numId="20" w16cid:durableId="1049495193">
    <w:abstractNumId w:val="22"/>
  </w:num>
  <w:num w:numId="21" w16cid:durableId="169026050">
    <w:abstractNumId w:val="14"/>
  </w:num>
  <w:num w:numId="22" w16cid:durableId="1325234981">
    <w:abstractNumId w:val="28"/>
  </w:num>
  <w:num w:numId="23" w16cid:durableId="2083065305">
    <w:abstractNumId w:val="34"/>
  </w:num>
  <w:num w:numId="24" w16cid:durableId="15693133">
    <w:abstractNumId w:val="29"/>
  </w:num>
  <w:num w:numId="25" w16cid:durableId="811756366">
    <w:abstractNumId w:val="24"/>
  </w:num>
  <w:num w:numId="26" w16cid:durableId="1687058349">
    <w:abstractNumId w:val="9"/>
  </w:num>
  <w:num w:numId="27" w16cid:durableId="961378859">
    <w:abstractNumId w:val="3"/>
  </w:num>
  <w:num w:numId="28" w16cid:durableId="10033931">
    <w:abstractNumId w:val="17"/>
  </w:num>
  <w:num w:numId="29" w16cid:durableId="229852941">
    <w:abstractNumId w:val="2"/>
  </w:num>
  <w:num w:numId="30" w16cid:durableId="1645157300">
    <w:abstractNumId w:val="11"/>
  </w:num>
  <w:num w:numId="31" w16cid:durableId="1731804977">
    <w:abstractNumId w:val="32"/>
  </w:num>
  <w:num w:numId="32" w16cid:durableId="143283228">
    <w:abstractNumId w:val="26"/>
  </w:num>
  <w:num w:numId="33" w16cid:durableId="1211113623">
    <w:abstractNumId w:val="33"/>
  </w:num>
  <w:num w:numId="34" w16cid:durableId="1346248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0949325">
    <w:abstractNumId w:val="18"/>
  </w:num>
  <w:num w:numId="36" w16cid:durableId="98137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486307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90E22"/>
    <w:rsid w:val="0049643E"/>
    <w:rsid w:val="00792A5D"/>
    <w:rsid w:val="007E53A5"/>
    <w:rsid w:val="008D486A"/>
    <w:rsid w:val="00E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DCB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qFormat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qFormat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Bezmezer">
    <w:name w:val="No Spacing"/>
    <w:qFormat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  <w:style w:type="numbering" w:customStyle="1" w:styleId="WWOutlineListStyle32">
    <w:name w:val="WW_OutlineListStyle_32"/>
    <w:rsid w:val="007E53A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CechT\AppData\Local\Temp\77\Priloha_v_uc.zaverce(2).docx" TargetMode="External"/><Relationship Id="rId13" Type="http://schemas.openxmlformats.org/officeDocument/2006/relationships/hyperlink" Target="file:///C:\Users\ATCechT\AppData\Local\Temp\77\Priloha_v_uc.zaverce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TCechT\AppData\Local\Temp\77\Priloha_v_uc.zaverce(2).docx" TargetMode="External"/><Relationship Id="rId12" Type="http://schemas.openxmlformats.org/officeDocument/2006/relationships/hyperlink" Target="file:///C:\Users\ATCechT\AppData\Local\Temp\77\Priloha_v_uc.zaverce(2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TCechT\AppData\Local\Temp\77\Priloha_v_uc.zaverce(2)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ATCechT\AppData\Local\Temp\77\Priloha_v_uc.zaverce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TCechT\AppData\Local\Temp\77\Priloha_v_uc.zaverce(2)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Tomáš Čech</cp:lastModifiedBy>
  <cp:revision>3</cp:revision>
  <cp:lastPrinted>2011-06-29T10:13:00Z</cp:lastPrinted>
  <dcterms:created xsi:type="dcterms:W3CDTF">2017-07-07T11:31:00Z</dcterms:created>
  <dcterms:modified xsi:type="dcterms:W3CDTF">2025-05-02T18:34:00Z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