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77D6" w14:textId="77777777" w:rsidR="006B18F1" w:rsidRDefault="006B18F1"/>
    <w:p w14:paraId="76AF3F01" w14:textId="77777777" w:rsidR="006B18F1" w:rsidRDefault="006B18F1"/>
    <w:p w14:paraId="3C1109A4" w14:textId="77777777" w:rsidR="006B18F1" w:rsidRDefault="006B18F1"/>
    <w:p w14:paraId="74ABB137" w14:textId="77777777" w:rsidR="006B18F1" w:rsidRDefault="006B18F1"/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6B18F1" w14:paraId="1E5D0C44" w14:textId="77777777">
        <w:trPr>
          <w:trHeight w:val="1002"/>
        </w:trPr>
        <w:tc>
          <w:tcPr>
            <w:tcW w:w="9072" w:type="dxa"/>
            <w:tcBorders>
              <w:bottom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869C" w14:textId="77777777" w:rsidR="006B18F1" w:rsidRDefault="00691129">
            <w:pPr>
              <w:pStyle w:val="Bezmezer"/>
              <w:jc w:val="center"/>
              <w:rPr>
                <w:rFonts w:ascii="Cambria" w:eastAsia="Times New Roman" w:hAnsi="Cambria"/>
                <w:sz w:val="60"/>
                <w:szCs w:val="60"/>
              </w:rPr>
            </w:pPr>
            <w:r>
              <w:rPr>
                <w:rFonts w:ascii="Cambria" w:eastAsia="Times New Roman" w:hAnsi="Cambria"/>
                <w:sz w:val="60"/>
                <w:szCs w:val="60"/>
              </w:rPr>
              <w:t>Příloha v účetní závěrce</w:t>
            </w:r>
          </w:p>
          <w:p w14:paraId="03CB03CA" w14:textId="77777777" w:rsidR="006B18F1" w:rsidRDefault="00691129">
            <w:pPr>
              <w:pStyle w:val="Bezmezer"/>
              <w:jc w:val="center"/>
            </w:pPr>
            <w:r>
              <w:rPr>
                <w:rFonts w:ascii="Cambria" w:eastAsia="Times New Roman" w:hAnsi="Cambria"/>
                <w:sz w:val="60"/>
                <w:szCs w:val="60"/>
              </w:rPr>
              <w:t>v plném rozsahu</w:t>
            </w:r>
          </w:p>
        </w:tc>
      </w:tr>
      <w:tr w:rsidR="006B18F1" w14:paraId="558B91DB" w14:textId="77777777">
        <w:trPr>
          <w:trHeight w:val="720"/>
        </w:trPr>
        <w:tc>
          <w:tcPr>
            <w:tcW w:w="9072" w:type="dxa"/>
            <w:tcBorders>
              <w:top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42CC" w14:textId="77777777" w:rsidR="006B18F1" w:rsidRDefault="00691129">
            <w:pPr>
              <w:pStyle w:val="Bezmezer"/>
              <w:jc w:val="center"/>
            </w:pPr>
            <w:r>
              <w:rPr>
                <w:rFonts w:ascii="Cambria" w:eastAsia="Times New Roman" w:hAnsi="Cambria"/>
                <w:sz w:val="40"/>
                <w:szCs w:val="40"/>
              </w:rPr>
              <w:t xml:space="preserve">Korporace </w:t>
            </w:r>
            <w:proofErr w:type="spellStart"/>
            <w:r>
              <w:rPr>
                <w:rFonts w:ascii="Cambria" w:eastAsia="Times New Roman" w:hAnsi="Cambria"/>
                <w:sz w:val="40"/>
                <w:szCs w:val="40"/>
              </w:rPr>
              <w:t>HUDYsport</w:t>
            </w:r>
            <w:proofErr w:type="spellEnd"/>
            <w:r>
              <w:rPr>
                <w:rFonts w:ascii="Cambria" w:eastAsia="Times New Roman" w:hAnsi="Cambria"/>
                <w:sz w:val="40"/>
                <w:szCs w:val="40"/>
              </w:rPr>
              <w:t xml:space="preserve"> a.s.</w:t>
            </w:r>
          </w:p>
        </w:tc>
      </w:tr>
      <w:tr w:rsidR="006B18F1" w14:paraId="270A4378" w14:textId="77777777">
        <w:trPr>
          <w:trHeight w:val="8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613D" w14:textId="77777777" w:rsidR="006B18F1" w:rsidRDefault="006B18F1">
            <w:pPr>
              <w:pStyle w:val="Bezmezer"/>
            </w:pPr>
          </w:p>
        </w:tc>
      </w:tr>
      <w:tr w:rsidR="006B18F1" w14:paraId="3C809D85" w14:textId="77777777">
        <w:trPr>
          <w:trHeight w:val="36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120F" w14:textId="48F3B8CE" w:rsidR="006B18F1" w:rsidRDefault="00691129">
            <w:pPr>
              <w:pStyle w:val="Bezmezer"/>
              <w:jc w:val="center"/>
            </w:pPr>
            <w:r>
              <w:rPr>
                <w:bCs/>
                <w:sz w:val="30"/>
                <w:szCs w:val="30"/>
              </w:rPr>
              <w:t>ke dni 31.12.20</w:t>
            </w:r>
            <w:r w:rsidR="004E1DFD">
              <w:rPr>
                <w:bCs/>
                <w:sz w:val="30"/>
                <w:szCs w:val="30"/>
              </w:rPr>
              <w:t>2</w:t>
            </w:r>
            <w:r w:rsidR="005F64E1">
              <w:rPr>
                <w:bCs/>
                <w:sz w:val="30"/>
                <w:szCs w:val="30"/>
              </w:rPr>
              <w:t>4</w:t>
            </w:r>
          </w:p>
        </w:tc>
      </w:tr>
      <w:tr w:rsidR="006B18F1" w14:paraId="6B80C787" w14:textId="77777777">
        <w:trPr>
          <w:trHeight w:val="36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C984" w14:textId="77777777" w:rsidR="006B18F1" w:rsidRDefault="006B18F1">
            <w:pPr>
              <w:pStyle w:val="Bezmezer"/>
              <w:jc w:val="center"/>
              <w:rPr>
                <w:b/>
                <w:bCs/>
              </w:rPr>
            </w:pPr>
          </w:p>
          <w:p w14:paraId="6A6A8A64" w14:textId="77777777" w:rsidR="006B18F1" w:rsidRDefault="006B18F1">
            <w:pPr>
              <w:pStyle w:val="Bezmezer"/>
              <w:jc w:val="center"/>
              <w:rPr>
                <w:b/>
                <w:bCs/>
              </w:rPr>
            </w:pPr>
          </w:p>
          <w:p w14:paraId="144C1C6F" w14:textId="77777777" w:rsidR="006B18F1" w:rsidRDefault="006B18F1">
            <w:pPr>
              <w:pStyle w:val="Bezmezer"/>
              <w:jc w:val="center"/>
              <w:rPr>
                <w:b/>
                <w:bCs/>
              </w:rPr>
            </w:pPr>
          </w:p>
          <w:p w14:paraId="46EB9CB3" w14:textId="77777777" w:rsidR="006B18F1" w:rsidRDefault="006B18F1">
            <w:pPr>
              <w:pStyle w:val="Bezmezer"/>
              <w:jc w:val="center"/>
              <w:rPr>
                <w:b/>
                <w:bCs/>
              </w:rPr>
            </w:pPr>
          </w:p>
          <w:p w14:paraId="57E758B7" w14:textId="77777777" w:rsidR="006B18F1" w:rsidRDefault="006B18F1">
            <w:pPr>
              <w:pStyle w:val="Bezmezer"/>
              <w:jc w:val="center"/>
              <w:rPr>
                <w:b/>
                <w:bCs/>
              </w:rPr>
            </w:pPr>
          </w:p>
          <w:p w14:paraId="61434E94" w14:textId="77777777" w:rsidR="006B18F1" w:rsidRDefault="006B18F1">
            <w:pPr>
              <w:pStyle w:val="Bezmezer"/>
              <w:jc w:val="center"/>
              <w:rPr>
                <w:b/>
                <w:bCs/>
              </w:rPr>
            </w:pPr>
          </w:p>
          <w:p w14:paraId="6E2A6565" w14:textId="77777777" w:rsidR="006B18F1" w:rsidRDefault="006B18F1">
            <w:pPr>
              <w:pStyle w:val="Bezmezer"/>
              <w:jc w:val="center"/>
              <w:rPr>
                <w:b/>
                <w:bCs/>
              </w:rPr>
            </w:pPr>
          </w:p>
        </w:tc>
      </w:tr>
    </w:tbl>
    <w:p w14:paraId="46737F5A" w14:textId="77777777" w:rsidR="006B18F1" w:rsidRDefault="006B18F1"/>
    <w:p w14:paraId="57E97C88" w14:textId="77777777" w:rsidR="006B18F1" w:rsidRDefault="00691129">
      <w:pPr>
        <w:spacing w:after="0" w:line="240" w:lineRule="auto"/>
        <w:rPr>
          <w:b/>
        </w:rPr>
      </w:pPr>
      <w:r>
        <w:rPr>
          <w:b/>
        </w:rPr>
        <w:t>Obsah přílohy</w:t>
      </w:r>
    </w:p>
    <w:p w14:paraId="335B4945" w14:textId="77777777" w:rsidR="006B18F1" w:rsidRDefault="00691129">
      <w:pPr>
        <w:spacing w:line="240" w:lineRule="auto"/>
      </w:pPr>
      <w:r>
        <w:t>Podle § 39 a § 39b vyhlášky č. 500/2002 Sb.:</w:t>
      </w:r>
    </w:p>
    <w:p w14:paraId="5016AA11" w14:textId="195CE64C" w:rsidR="006B18F1" w:rsidRDefault="006B18F1">
      <w:pPr>
        <w:spacing w:line="240" w:lineRule="auto"/>
        <w:rPr>
          <w:sz w:val="8"/>
          <w:szCs w:val="8"/>
          <w:lang w:eastAsia="cs-CZ"/>
        </w:rPr>
      </w:pPr>
    </w:p>
    <w:p w14:paraId="10872B64" w14:textId="77777777" w:rsidR="006B18F1" w:rsidRDefault="00691129" w:rsidP="00D10AA6">
      <w:pPr>
        <w:pStyle w:val="Obsah1"/>
      </w:pPr>
      <w:r>
        <w:rPr>
          <w:sz w:val="22"/>
          <w:szCs w:val="22"/>
        </w:rPr>
        <w:fldChar w:fldCharType="begin"/>
      </w:r>
      <w:r>
        <w:instrText xml:space="preserve"> TOC \o "1-1" \u \n 1-9 \h </w:instrText>
      </w:r>
      <w:r>
        <w:rPr>
          <w:sz w:val="22"/>
          <w:szCs w:val="22"/>
        </w:rPr>
        <w:fldChar w:fldCharType="separate"/>
      </w:r>
      <w:hyperlink w:anchor="_Toc438557600" w:history="1">
        <w:r>
          <w:rPr>
            <w:rStyle w:val="Hypertextovodkaz"/>
          </w:rPr>
          <w:t>1.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Popis účetní jednotky</w:t>
        </w:r>
      </w:hyperlink>
    </w:p>
    <w:p w14:paraId="2C984D4F" w14:textId="77777777" w:rsidR="006B18F1" w:rsidRDefault="00691129" w:rsidP="00D10AA6">
      <w:pPr>
        <w:pStyle w:val="Obsah1"/>
      </w:pPr>
      <w:hyperlink w:anchor="_Toc438557601" w:history="1">
        <w:r>
          <w:rPr>
            <w:rStyle w:val="Hypertextovodkaz"/>
          </w:rPr>
          <w:t>2.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Použité obecné účetní zásady, účetní metody a odchylky od těchto metod</w:t>
        </w:r>
      </w:hyperlink>
    </w:p>
    <w:p w14:paraId="69DA8918" w14:textId="77777777" w:rsidR="006B18F1" w:rsidRDefault="00691129" w:rsidP="00D10AA6">
      <w:pPr>
        <w:pStyle w:val="Obsah1"/>
      </w:pPr>
      <w:hyperlink w:anchor="_Toc438557602" w:history="1">
        <w:r>
          <w:rPr>
            <w:rStyle w:val="Hypertextovodkaz"/>
          </w:rPr>
          <w:t>3.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Informace k položkám závazkových vztahů</w:t>
        </w:r>
      </w:hyperlink>
    </w:p>
    <w:p w14:paraId="7FCA3CCD" w14:textId="77777777" w:rsidR="006B18F1" w:rsidRDefault="00691129" w:rsidP="00D10AA6">
      <w:pPr>
        <w:pStyle w:val="Obsah1"/>
      </w:pPr>
      <w:hyperlink w:anchor="_Toc438557603" w:history="1">
        <w:r>
          <w:rPr>
            <w:rStyle w:val="Hypertextovodkaz"/>
          </w:rPr>
          <w:t>4.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Výše a povaha jednotlivých položek výnosů a nákladů, které jsou mimořádné svým objemem nebo původem</w:t>
        </w:r>
      </w:hyperlink>
    </w:p>
    <w:p w14:paraId="0C8B7192" w14:textId="77777777" w:rsidR="006B18F1" w:rsidRDefault="00691129" w:rsidP="00D10AA6">
      <w:pPr>
        <w:pStyle w:val="Obsah1"/>
      </w:pPr>
      <w:hyperlink w:anchor="_Toc438557604" w:history="1">
        <w:r>
          <w:rPr>
            <w:rStyle w:val="Hypertextovodkaz"/>
          </w:rPr>
          <w:t>5.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Průměrný počet zaměstnanců dle kategorií v průběhu účetního období</w:t>
        </w:r>
      </w:hyperlink>
    </w:p>
    <w:p w14:paraId="5C90B37F" w14:textId="77777777" w:rsidR="006B18F1" w:rsidRDefault="00691129" w:rsidP="00D10AA6">
      <w:pPr>
        <w:pStyle w:val="Obsah1"/>
      </w:pPr>
      <w:hyperlink w:anchor="_Toc438557605" w:history="1">
        <w:r>
          <w:rPr>
            <w:rStyle w:val="Hypertextovodkaz"/>
          </w:rPr>
          <w:t>6.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Informace o konsolidovaných účetních jednotkách a přidružených účetních jednotkách</w:t>
        </w:r>
      </w:hyperlink>
    </w:p>
    <w:p w14:paraId="3642F796" w14:textId="77777777" w:rsidR="006B18F1" w:rsidRDefault="00691129" w:rsidP="00D10AA6">
      <w:pPr>
        <w:pStyle w:val="Obsah1"/>
      </w:pPr>
      <w:hyperlink w:anchor="_Toc438557606" w:history="1">
        <w:r>
          <w:rPr>
            <w:rStyle w:val="Hypertextovodkaz"/>
          </w:rPr>
          <w:t>7.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Cenné papíry vydané účetní jednotkou</w:t>
        </w:r>
      </w:hyperlink>
    </w:p>
    <w:p w14:paraId="42211746" w14:textId="77777777" w:rsidR="006B18F1" w:rsidRDefault="00691129" w:rsidP="00D10AA6">
      <w:pPr>
        <w:pStyle w:val="Obsah1"/>
      </w:pPr>
      <w:hyperlink w:anchor="_Toc438557607" w:history="1">
        <w:r>
          <w:rPr>
            <w:rStyle w:val="Hypertextovodkaz"/>
          </w:rPr>
          <w:t>8.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Informace o rozdělení zisku nebo vypořádání ztráty</w:t>
        </w:r>
      </w:hyperlink>
    </w:p>
    <w:p w14:paraId="0A86B3D9" w14:textId="77777777" w:rsidR="006B18F1" w:rsidRDefault="00691129" w:rsidP="00D10AA6">
      <w:pPr>
        <w:pStyle w:val="Obsah1"/>
      </w:pPr>
      <w:hyperlink w:anchor="_Toc438557608" w:history="1">
        <w:r>
          <w:rPr>
            <w:rStyle w:val="Hypertextovodkaz"/>
          </w:rPr>
          <w:t>9.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Informace o položkách dlouhodobých aktiv</w:t>
        </w:r>
      </w:hyperlink>
    </w:p>
    <w:p w14:paraId="6CAE3005" w14:textId="77777777" w:rsidR="006B18F1" w:rsidRDefault="00691129" w:rsidP="00D10AA6">
      <w:pPr>
        <w:pStyle w:val="Obsah1"/>
      </w:pPr>
      <w:hyperlink w:anchor="_Toc438557609" w:history="1">
        <w:r>
          <w:rPr>
            <w:rStyle w:val="Hypertextovodkaz"/>
          </w:rPr>
          <w:t>10.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Odložená daň na konci účetního období a její vývoj</w:t>
        </w:r>
      </w:hyperlink>
    </w:p>
    <w:p w14:paraId="717525C0" w14:textId="77777777" w:rsidR="006B18F1" w:rsidRDefault="00691129" w:rsidP="00D10AA6">
      <w:pPr>
        <w:pStyle w:val="Obsah1"/>
        <w:ind w:left="660" w:hanging="660"/>
      </w:pPr>
      <w:hyperlink w:anchor="_Toc438557610" w:history="1">
        <w:r>
          <w:rPr>
            <w:rStyle w:val="Hypertextovodkaz"/>
          </w:rPr>
          <w:t>11.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Povaha a obchodní účel operací účetní jednotky, které nejsou zahrnuty v rozvaze a jejich finanční dopad na účetní jednotku</w:t>
        </w:r>
      </w:hyperlink>
    </w:p>
    <w:p w14:paraId="3636335B" w14:textId="77777777" w:rsidR="006B18F1" w:rsidRDefault="00691129" w:rsidP="00D10AA6">
      <w:pPr>
        <w:pStyle w:val="Obsah1"/>
      </w:pPr>
      <w:hyperlink w:anchor="_Toc438557611" w:history="1">
        <w:r>
          <w:rPr>
            <w:rStyle w:val="Hypertextovodkaz"/>
          </w:rPr>
          <w:t>12.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Informace o transakcích uzavřených se spřízněnou stranou</w:t>
        </w:r>
      </w:hyperlink>
    </w:p>
    <w:p w14:paraId="585D0698" w14:textId="77777777" w:rsidR="006B18F1" w:rsidRDefault="00691129" w:rsidP="00D10AA6">
      <w:pPr>
        <w:pStyle w:val="Obsah1"/>
      </w:pPr>
      <w:hyperlink w:anchor="_Toc438557612" w:history="1">
        <w:r>
          <w:rPr>
            <w:rStyle w:val="Hypertextovodkaz"/>
          </w:rPr>
          <w:t>13.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Významné události mezi rozvahovým dnem a okamžikem sestavení účetní závěrky</w:t>
        </w:r>
      </w:hyperlink>
    </w:p>
    <w:p w14:paraId="03D2DB93" w14:textId="77777777" w:rsidR="006B18F1" w:rsidRDefault="00691129" w:rsidP="00D10AA6">
      <w:pPr>
        <w:pStyle w:val="Obsah1"/>
      </w:pPr>
      <w:r>
        <w:rPr>
          <w:color w:val="0000FF"/>
          <w:u w:val="single"/>
        </w:rPr>
        <w:fldChar w:fldCharType="end"/>
      </w:r>
      <w:r w:rsidR="00D10AA6" w:rsidRPr="00D10AA6">
        <w:t>14.</w:t>
      </w:r>
      <w:r w:rsidR="00D10AA6">
        <w:rPr>
          <w:color w:val="0000FF"/>
        </w:rPr>
        <w:tab/>
      </w:r>
      <w:r w:rsidR="00D10AA6">
        <w:t>Informace o trvání účetní jednotky</w:t>
      </w:r>
    </w:p>
    <w:p w14:paraId="20356BF3" w14:textId="3C7B18DA" w:rsidR="00BC1B7D" w:rsidRPr="0093698F" w:rsidRDefault="0093698F" w:rsidP="00D10AA6">
      <w:pPr>
        <w:rPr>
          <w:sz w:val="20"/>
          <w:szCs w:val="20"/>
        </w:rPr>
      </w:pPr>
      <w:r w:rsidRPr="0093698F">
        <w:rPr>
          <w:sz w:val="20"/>
          <w:szCs w:val="20"/>
        </w:rPr>
        <w:t>15</w:t>
      </w:r>
      <w:r w:rsidR="00D10AA6" w:rsidRPr="0093698F">
        <w:rPr>
          <w:sz w:val="20"/>
          <w:szCs w:val="20"/>
        </w:rPr>
        <w:t>.</w:t>
      </w:r>
      <w:r w:rsidR="00D10AA6" w:rsidRPr="0093698F">
        <w:rPr>
          <w:sz w:val="20"/>
          <w:szCs w:val="20"/>
        </w:rPr>
        <w:tab/>
        <w:t>Jiné informace</w:t>
      </w:r>
    </w:p>
    <w:p w14:paraId="30574665" w14:textId="77777777" w:rsidR="006B18F1" w:rsidRDefault="006B18F1"/>
    <w:p w14:paraId="1F3450C2" w14:textId="77777777" w:rsidR="006B18F1" w:rsidRDefault="00691129">
      <w:pPr>
        <w:pStyle w:val="Nadpis1"/>
      </w:pPr>
      <w:bookmarkStart w:id="0" w:name="_Toc297025039"/>
      <w:bookmarkStart w:id="1" w:name="_Toc297025068"/>
      <w:bookmarkStart w:id="2" w:name="_Toc297025216"/>
      <w:bookmarkStart w:id="3" w:name="_Toc297025395"/>
      <w:bookmarkStart w:id="4" w:name="_Toc297025536"/>
      <w:bookmarkStart w:id="5" w:name="_Toc297029771"/>
      <w:bookmarkStart w:id="6" w:name="_Toc297029810"/>
      <w:bookmarkStart w:id="7" w:name="_Toc297106456"/>
      <w:bookmarkStart w:id="8" w:name="_Toc297112135"/>
      <w:bookmarkStart w:id="9" w:name="_Toc297117319"/>
      <w:bookmarkStart w:id="10" w:name="_Toc297117332"/>
      <w:bookmarkStart w:id="11" w:name="_Toc297117345"/>
      <w:bookmarkStart w:id="12" w:name="_Toc297117358"/>
      <w:bookmarkStart w:id="13" w:name="_Toc297117377"/>
      <w:bookmarkStart w:id="14" w:name="_Toc297121704"/>
      <w:bookmarkStart w:id="15" w:name="_Toc304191914"/>
      <w:bookmarkStart w:id="16" w:name="_Toc304191927"/>
      <w:bookmarkStart w:id="17" w:name="_Toc304192024"/>
      <w:bookmarkStart w:id="18" w:name="_Toc304192037"/>
      <w:bookmarkStart w:id="19" w:name="_Toc304294012"/>
      <w:bookmarkStart w:id="20" w:name="_Toc304294608"/>
      <w:bookmarkStart w:id="21" w:name="_Toc438216068"/>
      <w:bookmarkStart w:id="22" w:name="_Toc438557600"/>
      <w:r>
        <w:t>Popis účetní jednotky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350AE191" w14:textId="77777777" w:rsidR="006B18F1" w:rsidRDefault="006B18F1">
      <w:pPr>
        <w:autoSpaceDE w:val="0"/>
        <w:spacing w:after="0" w:line="240" w:lineRule="auto"/>
        <w:ind w:left="708"/>
        <w:rPr>
          <w:rFonts w:cs="Calibri"/>
          <w:b/>
          <w:bCs/>
        </w:rPr>
      </w:pPr>
    </w:p>
    <w:p w14:paraId="7D7C4F43" w14:textId="77777777" w:rsidR="006B18F1" w:rsidRDefault="00691129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Název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spellStart"/>
      <w:r>
        <w:rPr>
          <w:rFonts w:cs="Calibri"/>
        </w:rPr>
        <w:t>HUDYsport</w:t>
      </w:r>
      <w:proofErr w:type="spellEnd"/>
      <w:r>
        <w:rPr>
          <w:rFonts w:cs="Calibri"/>
        </w:rPr>
        <w:t xml:space="preserve"> a.s.</w:t>
      </w:r>
    </w:p>
    <w:p w14:paraId="24F9CA82" w14:textId="59F9FA39" w:rsidR="006B18F1" w:rsidRDefault="00691129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Sídlo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Bynovec 138, PSČ 405 02, Děčín</w:t>
      </w:r>
    </w:p>
    <w:p w14:paraId="1DDA98CC" w14:textId="77777777" w:rsidR="006B18F1" w:rsidRDefault="00691129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Právní forma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D10AA6">
        <w:rPr>
          <w:rFonts w:cs="Calibri"/>
        </w:rPr>
        <w:t>akciová společnost</w:t>
      </w:r>
    </w:p>
    <w:p w14:paraId="66248D18" w14:textId="77777777" w:rsidR="006B18F1" w:rsidRDefault="00691129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IČ</w:t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27268560</w:t>
      </w:r>
    </w:p>
    <w:p w14:paraId="2345BA65" w14:textId="77777777" w:rsidR="006B18F1" w:rsidRDefault="00691129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Předmět podnikání</w:t>
      </w:r>
      <w:r>
        <w:rPr>
          <w:rFonts w:cs="Calibri"/>
        </w:rPr>
        <w:t>: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rPr>
          <w:rFonts w:cs="Calibri"/>
        </w:rPr>
        <w:tab/>
        <w:t>nespecializovaný velkoobchod</w:t>
      </w:r>
    </w:p>
    <w:p w14:paraId="450C8504" w14:textId="77777777" w:rsidR="006B18F1" w:rsidRDefault="00691129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Den vzniku účetní jednotky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 w:rsidR="00D10AA6">
        <w:rPr>
          <w:rFonts w:cs="Calibri"/>
        </w:rPr>
        <w:t>5. května 2005</w:t>
      </w:r>
    </w:p>
    <w:p w14:paraId="0C57B982" w14:textId="4BDBEBD4" w:rsidR="006B18F1" w:rsidRDefault="00691129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Zdaňovací období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od 1.1.20</w:t>
      </w:r>
      <w:r w:rsidR="004E1DFD">
        <w:rPr>
          <w:rFonts w:cs="Calibri"/>
        </w:rPr>
        <w:t>2</w:t>
      </w:r>
      <w:r w:rsidR="005F64E1">
        <w:rPr>
          <w:rFonts w:cs="Calibri"/>
        </w:rPr>
        <w:t>4</w:t>
      </w:r>
      <w:r>
        <w:rPr>
          <w:rFonts w:cs="Calibri"/>
        </w:rPr>
        <w:t xml:space="preserve"> do 31.12.20</w:t>
      </w:r>
      <w:r w:rsidR="004E1DFD">
        <w:rPr>
          <w:rFonts w:cs="Calibri"/>
        </w:rPr>
        <w:t>2</w:t>
      </w:r>
      <w:r w:rsidR="005F64E1">
        <w:rPr>
          <w:rFonts w:cs="Calibri"/>
        </w:rPr>
        <w:t>4</w:t>
      </w:r>
    </w:p>
    <w:p w14:paraId="1C74558B" w14:textId="5D321303" w:rsidR="006B18F1" w:rsidRDefault="00691129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Rozvahový den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31.12.20</w:t>
      </w:r>
      <w:r w:rsidR="004E1DFD">
        <w:rPr>
          <w:rFonts w:cs="Calibri"/>
        </w:rPr>
        <w:t>2</w:t>
      </w:r>
      <w:r w:rsidR="005F64E1">
        <w:rPr>
          <w:rFonts w:cs="Calibri"/>
        </w:rPr>
        <w:t>4</w:t>
      </w:r>
    </w:p>
    <w:p w14:paraId="36027A82" w14:textId="273D3D7F" w:rsidR="006B18F1" w:rsidRDefault="00691129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Okamžik sestavení účetní závěrky</w:t>
      </w:r>
      <w:r>
        <w:rPr>
          <w:rFonts w:cs="Calibri"/>
        </w:rPr>
        <w:t>:</w:t>
      </w:r>
      <w:r>
        <w:rPr>
          <w:rFonts w:cs="Calibri"/>
        </w:rPr>
        <w:tab/>
      </w:r>
      <w:r w:rsidR="005F64E1">
        <w:rPr>
          <w:rFonts w:cs="Calibri"/>
        </w:rPr>
        <w:t>2</w:t>
      </w:r>
      <w:r w:rsidR="000F4644">
        <w:rPr>
          <w:rFonts w:cs="Calibri"/>
        </w:rPr>
        <w:t>6</w:t>
      </w:r>
      <w:r>
        <w:rPr>
          <w:rFonts w:cs="Calibri"/>
        </w:rPr>
        <w:t>.</w:t>
      </w:r>
      <w:r w:rsidR="001771C4">
        <w:rPr>
          <w:rFonts w:cs="Calibri"/>
        </w:rPr>
        <w:t>0</w:t>
      </w:r>
      <w:r w:rsidR="005F64E1">
        <w:rPr>
          <w:rFonts w:cs="Calibri"/>
        </w:rPr>
        <w:t>5</w:t>
      </w:r>
      <w:r>
        <w:rPr>
          <w:rFonts w:cs="Calibri"/>
        </w:rPr>
        <w:t>.202</w:t>
      </w:r>
      <w:r w:rsidR="005F64E1">
        <w:rPr>
          <w:rFonts w:cs="Calibri"/>
        </w:rPr>
        <w:t>5</w:t>
      </w:r>
    </w:p>
    <w:p w14:paraId="18228BDF" w14:textId="77777777" w:rsidR="006B18F1" w:rsidRDefault="006B18F1">
      <w:pPr>
        <w:autoSpaceDE w:val="0"/>
        <w:spacing w:after="0" w:line="240" w:lineRule="auto"/>
        <w:rPr>
          <w:rFonts w:cs="Calibri"/>
          <w:bCs/>
        </w:rPr>
      </w:pPr>
    </w:p>
    <w:p w14:paraId="005C97CC" w14:textId="77777777" w:rsidR="006B18F1" w:rsidRDefault="006B18F1">
      <w:pPr>
        <w:autoSpaceDE w:val="0"/>
        <w:spacing w:after="0" w:line="240" w:lineRule="auto"/>
        <w:rPr>
          <w:rFonts w:cs="Calibri"/>
          <w:bCs/>
        </w:rPr>
      </w:pPr>
    </w:p>
    <w:p w14:paraId="7B381FE8" w14:textId="77777777" w:rsidR="001478A7" w:rsidRDefault="001478A7">
      <w:pPr>
        <w:autoSpaceDE w:val="0"/>
        <w:spacing w:after="0" w:line="240" w:lineRule="auto"/>
        <w:rPr>
          <w:rFonts w:cs="Calibri"/>
          <w:bCs/>
        </w:rPr>
      </w:pPr>
    </w:p>
    <w:p w14:paraId="332D0D55" w14:textId="77777777" w:rsidR="006B18F1" w:rsidRDefault="006B18F1">
      <w:pPr>
        <w:autoSpaceDE w:val="0"/>
        <w:spacing w:after="0" w:line="240" w:lineRule="auto"/>
        <w:rPr>
          <w:rFonts w:cs="Calibri"/>
          <w:bCs/>
        </w:rPr>
      </w:pPr>
    </w:p>
    <w:p w14:paraId="62653617" w14:textId="59753949" w:rsidR="006B18F1" w:rsidRDefault="00691129">
      <w:pPr>
        <w:pStyle w:val="Nadpis1"/>
      </w:pPr>
      <w:bookmarkStart w:id="23" w:name="_Toc438216069"/>
      <w:bookmarkStart w:id="24" w:name="_Toc438557601"/>
      <w:r>
        <w:t>Použité obecné účetní zásady, účetní metody a odchylky od těchto metod</w:t>
      </w:r>
      <w:bookmarkEnd w:id="23"/>
      <w:bookmarkEnd w:id="24"/>
    </w:p>
    <w:p w14:paraId="01239A69" w14:textId="4983D041" w:rsidR="00BC1B7D" w:rsidRDefault="00F47421" w:rsidP="00F47421">
      <w:pPr>
        <w:ind w:left="360"/>
      </w:pPr>
      <w:r>
        <w:t>(číselné údaje jsou uváděny v celých tisících Kč, pokud není uvedeno jinak)</w:t>
      </w:r>
    </w:p>
    <w:p w14:paraId="5FD903BE" w14:textId="77777777" w:rsidR="006B18F1" w:rsidRDefault="006B18F1">
      <w:pPr>
        <w:autoSpaceDE w:val="0"/>
        <w:spacing w:after="0" w:line="240" w:lineRule="auto"/>
        <w:rPr>
          <w:rFonts w:cs="Calibri"/>
          <w:b/>
          <w:bCs/>
        </w:rPr>
      </w:pPr>
    </w:p>
    <w:p w14:paraId="237185BD" w14:textId="0D890874" w:rsidR="006B18F1" w:rsidRDefault="00691129">
      <w:pPr>
        <w:pStyle w:val="Nadpis2"/>
      </w:pPr>
      <w:r>
        <w:t>Použité obecné účetní zásady</w:t>
      </w:r>
    </w:p>
    <w:p w14:paraId="5D15F84C" w14:textId="77777777" w:rsidR="00AC6207" w:rsidRPr="00AC6207" w:rsidRDefault="00AC6207" w:rsidP="00AC6207"/>
    <w:p w14:paraId="552464D9" w14:textId="77777777" w:rsidR="006B18F1" w:rsidRDefault="00D10AA6" w:rsidP="00D10AA6">
      <w:pPr>
        <w:autoSpaceDE w:val="0"/>
        <w:spacing w:after="0" w:line="240" w:lineRule="auto"/>
        <w:ind w:left="624"/>
        <w:jc w:val="both"/>
        <w:rPr>
          <w:rFonts w:cs="Calibri"/>
          <w:bCs/>
        </w:rPr>
      </w:pPr>
      <w:r>
        <w:rPr>
          <w:rFonts w:cs="Calibri"/>
          <w:bCs/>
        </w:rPr>
        <w:t>Předkládaná účetní závěrka korporace byla zpracována na základě zákona o účetnictví, ve znění pozdějších předpisů, na základě vyhlášky 500/2002 Sb., kterými se stanový obsah účetní závěrky.</w:t>
      </w:r>
    </w:p>
    <w:p w14:paraId="703DB3B8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A248059" w14:textId="77777777" w:rsidR="001478A7" w:rsidRDefault="001478A7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55C9C64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CE87BCC" w14:textId="77777777" w:rsidR="006B18F1" w:rsidRDefault="00691129">
      <w:pPr>
        <w:pStyle w:val="Nadpis2"/>
      </w:pPr>
      <w:r>
        <w:t>Použité účetní metody</w:t>
      </w:r>
    </w:p>
    <w:p w14:paraId="3DE22849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83056EE" w14:textId="77777777" w:rsidR="006B18F1" w:rsidRPr="00563882" w:rsidRDefault="00563882" w:rsidP="00563882">
      <w:pPr>
        <w:pStyle w:val="Odstavecseseznamem"/>
        <w:numPr>
          <w:ilvl w:val="0"/>
          <w:numId w:val="35"/>
        </w:num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d</w:t>
      </w:r>
      <w:r w:rsidR="00D10AA6" w:rsidRPr="00563882">
        <w:rPr>
          <w:rFonts w:cs="Calibri"/>
          <w:bCs/>
        </w:rPr>
        <w:t>le zákona o účetnictví</w:t>
      </w:r>
    </w:p>
    <w:p w14:paraId="6183BD34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5FE5E71" w14:textId="77777777" w:rsidR="001478A7" w:rsidRDefault="001478A7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A79D3C4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EBDE152" w14:textId="77777777" w:rsidR="006B18F1" w:rsidRDefault="00691129">
      <w:pPr>
        <w:pStyle w:val="Nadpis2"/>
      </w:pPr>
      <w:r>
        <w:t>Informace o odchylkách od metod podle § 7 odst. 5 zákona o účetnictví s uvedením jejich vlivu na majetek a závazky, na finanční situaci a výsledek hospodaření účetní jednotky</w:t>
      </w:r>
    </w:p>
    <w:p w14:paraId="2579B579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9339CA7" w14:textId="77777777" w:rsidR="006B18F1" w:rsidRPr="00563882" w:rsidRDefault="00563882" w:rsidP="00563882">
      <w:pPr>
        <w:pStyle w:val="Odstavecseseznamem"/>
        <w:numPr>
          <w:ilvl w:val="0"/>
          <w:numId w:val="35"/>
        </w:num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ú</w:t>
      </w:r>
      <w:r w:rsidR="00D10AA6" w:rsidRPr="00563882">
        <w:rPr>
          <w:rFonts w:cs="Calibri"/>
          <w:bCs/>
        </w:rPr>
        <w:t>četní jednotka nepoužila odchylky od metod podle §7 odst. 5 zákona o účetnictví</w:t>
      </w:r>
    </w:p>
    <w:p w14:paraId="5C0D8743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4F0E499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87E9BF2" w14:textId="77777777" w:rsidR="006B18F1" w:rsidRDefault="00691129">
      <w:pPr>
        <w:pStyle w:val="Nadpis2"/>
      </w:pPr>
      <w:r>
        <w:t>Způsob oceňování majetku a závazků</w:t>
      </w:r>
    </w:p>
    <w:p w14:paraId="6C316F00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F7C35E8" w14:textId="77777777" w:rsidR="006B18F1" w:rsidRDefault="00D10AA6" w:rsidP="00D10AA6">
      <w:pPr>
        <w:pStyle w:val="Odstavecseseznamem"/>
        <w:numPr>
          <w:ilvl w:val="0"/>
          <w:numId w:val="34"/>
        </w:num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z</w:t>
      </w:r>
      <w:r w:rsidRPr="00D10AA6">
        <w:rPr>
          <w:rFonts w:cs="Calibri"/>
          <w:bCs/>
        </w:rPr>
        <w:t>ásoby jsou oceňovány způsobem B evidence zásob</w:t>
      </w:r>
    </w:p>
    <w:p w14:paraId="1B2CD622" w14:textId="77777777" w:rsidR="00D10AA6" w:rsidRDefault="00D10AA6" w:rsidP="00D10AA6">
      <w:pPr>
        <w:pStyle w:val="Odstavecseseznamem"/>
        <w:numPr>
          <w:ilvl w:val="0"/>
          <w:numId w:val="34"/>
        </w:num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výdej zásob ze skladu je účtován cenami zjištěnými aritmetickým průměrem</w:t>
      </w:r>
    </w:p>
    <w:p w14:paraId="221F8974" w14:textId="77777777" w:rsidR="00D10AA6" w:rsidRDefault="00D10AA6" w:rsidP="00D10AA6">
      <w:pPr>
        <w:pStyle w:val="Odstavecseseznamem"/>
        <w:numPr>
          <w:ilvl w:val="0"/>
          <w:numId w:val="34"/>
        </w:num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oceňování nakupovaných zásob je prováděno ve skutečných pořizovacích cenách zahrnujících cenu pořízení</w:t>
      </w:r>
      <w:r w:rsidR="00563882">
        <w:rPr>
          <w:rFonts w:cs="Calibri"/>
          <w:bCs/>
        </w:rPr>
        <w:t xml:space="preserve"> a vedlejší pořizovací náklady</w:t>
      </w:r>
    </w:p>
    <w:p w14:paraId="1DB6FBBB" w14:textId="571B7494" w:rsidR="001478A7" w:rsidRPr="00F47421" w:rsidRDefault="00563882" w:rsidP="00F47421">
      <w:pPr>
        <w:pStyle w:val="Odstavecseseznamem"/>
        <w:numPr>
          <w:ilvl w:val="0"/>
          <w:numId w:val="34"/>
        </w:num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majetek je oceňován cenou pořízení plus vedlejší pořizovací náklady</w:t>
      </w:r>
    </w:p>
    <w:p w14:paraId="0FE3EBEF" w14:textId="77777777" w:rsidR="001478A7" w:rsidRDefault="001478A7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5DEEFBD" w14:textId="77777777" w:rsidR="006B18F1" w:rsidRDefault="00691129">
      <w:pPr>
        <w:pStyle w:val="Nadpis2"/>
      </w:pPr>
      <w:r>
        <w:t>Způsob stanovení úprav hodnot majetku (odpisy a opravné položky)</w:t>
      </w:r>
    </w:p>
    <w:p w14:paraId="449FFD2D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8C0872E" w14:textId="77777777" w:rsidR="006B18F1" w:rsidRDefault="00563882" w:rsidP="00563882">
      <w:pPr>
        <w:pStyle w:val="Odstavecseseznamem"/>
        <w:numPr>
          <w:ilvl w:val="0"/>
          <w:numId w:val="34"/>
        </w:num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odpisový plán účetních odpisů dlouhodobého majetku účetní jednotka stanovila interním předpisem tak, že za základ vzala metody používané při vyčíslování daňových odpisů. Daňové a účetní odpisy se rovnají.</w:t>
      </w:r>
    </w:p>
    <w:p w14:paraId="1D0ED5C4" w14:textId="77777777" w:rsidR="001478A7" w:rsidRDefault="001478A7" w:rsidP="001478A7">
      <w:pPr>
        <w:pStyle w:val="Odstavecseseznamem"/>
        <w:autoSpaceDE w:val="0"/>
        <w:spacing w:after="0" w:line="240" w:lineRule="auto"/>
        <w:ind w:left="984"/>
        <w:jc w:val="both"/>
        <w:rPr>
          <w:rFonts w:cs="Calibri"/>
          <w:bCs/>
        </w:rPr>
      </w:pPr>
    </w:p>
    <w:p w14:paraId="5D2B82D0" w14:textId="77777777" w:rsidR="00563882" w:rsidRDefault="00563882" w:rsidP="00563882">
      <w:pPr>
        <w:pStyle w:val="Odstavecseseznamem"/>
        <w:numPr>
          <w:ilvl w:val="0"/>
          <w:numId w:val="34"/>
        </w:num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odpisový plán účetních odpisů dlouhodobého nehmotného majetku vychází z platného ustanovení zákona o účetnictví. Dodržuje se zásada jeho odpisování v účetnictví nejdéle do pěti let od pořízení.</w:t>
      </w:r>
    </w:p>
    <w:p w14:paraId="694651C2" w14:textId="77777777" w:rsidR="00563882" w:rsidRDefault="00563882" w:rsidP="00563882">
      <w:pPr>
        <w:pStyle w:val="Odstavecseseznamem"/>
        <w:autoSpaceDE w:val="0"/>
        <w:spacing w:after="0" w:line="240" w:lineRule="auto"/>
        <w:ind w:left="984"/>
        <w:jc w:val="both"/>
        <w:rPr>
          <w:rFonts w:cs="Calibri"/>
          <w:bCs/>
        </w:rPr>
      </w:pPr>
    </w:p>
    <w:p w14:paraId="49BB6468" w14:textId="77777777" w:rsidR="00563882" w:rsidRDefault="00563882" w:rsidP="00563882">
      <w:pPr>
        <w:pStyle w:val="Odstavecseseznamem"/>
        <w:numPr>
          <w:ilvl w:val="0"/>
          <w:numId w:val="34"/>
        </w:num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použitá lineární metoda</w:t>
      </w:r>
    </w:p>
    <w:p w14:paraId="3507B6F5" w14:textId="77777777" w:rsidR="00563882" w:rsidRPr="00563882" w:rsidRDefault="00563882" w:rsidP="00563882">
      <w:pPr>
        <w:pStyle w:val="Odstavecseseznamem"/>
        <w:rPr>
          <w:rFonts w:cs="Calibri"/>
          <w:bCs/>
        </w:rPr>
      </w:pPr>
    </w:p>
    <w:p w14:paraId="0402B24B" w14:textId="61B0F5B1" w:rsidR="00563882" w:rsidRDefault="00563882" w:rsidP="00563882">
      <w:pPr>
        <w:pStyle w:val="Odstavecseseznamem"/>
        <w:numPr>
          <w:ilvl w:val="0"/>
          <w:numId w:val="34"/>
        </w:num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drobný majetek do </w:t>
      </w:r>
      <w:r w:rsidR="00AC6207">
        <w:rPr>
          <w:rFonts w:cs="Calibri"/>
          <w:bCs/>
        </w:rPr>
        <w:t>8</w:t>
      </w:r>
      <w:r>
        <w:rPr>
          <w:rFonts w:cs="Calibri"/>
          <w:bCs/>
        </w:rPr>
        <w:t>0 tis. Kč je veden jako zásoba a je účtován na účet 501 – spotřeba materiálu</w:t>
      </w:r>
    </w:p>
    <w:p w14:paraId="767EA030" w14:textId="77777777" w:rsidR="00563882" w:rsidRPr="00563882" w:rsidRDefault="00563882" w:rsidP="00563882">
      <w:pPr>
        <w:pStyle w:val="Odstavecseseznamem"/>
        <w:rPr>
          <w:rFonts w:cs="Calibri"/>
          <w:bCs/>
        </w:rPr>
      </w:pPr>
    </w:p>
    <w:p w14:paraId="72D4536F" w14:textId="6A863A6F" w:rsidR="00563882" w:rsidRDefault="00563882" w:rsidP="00563882">
      <w:pPr>
        <w:pStyle w:val="Odstavecseseznamem"/>
        <w:numPr>
          <w:ilvl w:val="0"/>
          <w:numId w:val="34"/>
        </w:num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evidence drobného majetku je vedena od </w:t>
      </w:r>
      <w:r w:rsidR="002D0727">
        <w:rPr>
          <w:rFonts w:cs="Calibri"/>
          <w:bCs/>
        </w:rPr>
        <w:t>20</w:t>
      </w:r>
      <w:r>
        <w:rPr>
          <w:rFonts w:cs="Calibri"/>
          <w:bCs/>
        </w:rPr>
        <w:t xml:space="preserve"> tis. Kč, pokud není u konkrétního druhu drobného majetku stanoveno jinak, např. telefony</w:t>
      </w:r>
      <w:r w:rsidR="004E1DFD">
        <w:rPr>
          <w:rFonts w:cs="Calibri"/>
          <w:bCs/>
        </w:rPr>
        <w:t xml:space="preserve"> pořízené za nižší cenu</w:t>
      </w:r>
    </w:p>
    <w:p w14:paraId="43AADC8A" w14:textId="77777777" w:rsidR="001478A7" w:rsidRDefault="001478A7" w:rsidP="002D0727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CDB672A" w14:textId="77777777" w:rsidR="001478A7" w:rsidRDefault="001478A7" w:rsidP="00563882">
      <w:pPr>
        <w:autoSpaceDE w:val="0"/>
        <w:spacing w:after="0" w:line="240" w:lineRule="auto"/>
        <w:ind w:left="624"/>
        <w:jc w:val="both"/>
        <w:rPr>
          <w:rFonts w:cs="Calibri"/>
          <w:bCs/>
        </w:rPr>
      </w:pPr>
    </w:p>
    <w:p w14:paraId="6DFAB4D5" w14:textId="77777777" w:rsidR="002D0727" w:rsidRDefault="002D0727" w:rsidP="00563882">
      <w:pPr>
        <w:autoSpaceDE w:val="0"/>
        <w:spacing w:after="0" w:line="240" w:lineRule="auto"/>
        <w:ind w:left="624"/>
        <w:jc w:val="both"/>
        <w:rPr>
          <w:rFonts w:cs="Calibri"/>
          <w:bCs/>
        </w:rPr>
      </w:pPr>
    </w:p>
    <w:p w14:paraId="5F1DDAD0" w14:textId="77777777" w:rsidR="002D0727" w:rsidRDefault="002D0727" w:rsidP="00563882">
      <w:pPr>
        <w:autoSpaceDE w:val="0"/>
        <w:spacing w:after="0" w:line="240" w:lineRule="auto"/>
        <w:ind w:left="624"/>
        <w:jc w:val="both"/>
        <w:rPr>
          <w:rFonts w:cs="Calibri"/>
          <w:bCs/>
        </w:rPr>
      </w:pPr>
    </w:p>
    <w:p w14:paraId="58115F3E" w14:textId="77777777" w:rsidR="001478A7" w:rsidRDefault="001478A7" w:rsidP="00563882">
      <w:pPr>
        <w:autoSpaceDE w:val="0"/>
        <w:spacing w:after="0" w:line="240" w:lineRule="auto"/>
        <w:ind w:left="624"/>
        <w:jc w:val="both"/>
        <w:rPr>
          <w:rFonts w:cs="Calibri"/>
          <w:bCs/>
        </w:rPr>
      </w:pPr>
    </w:p>
    <w:p w14:paraId="2D7FB513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75274CB" w14:textId="77777777" w:rsidR="006B18F1" w:rsidRDefault="00691129">
      <w:pPr>
        <w:pStyle w:val="Nadpis2"/>
      </w:pPr>
      <w:r>
        <w:t>Způsob přepočtu údajů v cizích měnách na českou měnu</w:t>
      </w:r>
    </w:p>
    <w:p w14:paraId="51574FE2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DA07D86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0FC5127" w14:textId="77777777" w:rsidR="006B18F1" w:rsidRDefault="00451908" w:rsidP="00451908">
      <w:pPr>
        <w:autoSpaceDE w:val="0"/>
        <w:spacing w:after="0" w:line="240" w:lineRule="auto"/>
        <w:ind w:firstLine="624"/>
        <w:jc w:val="both"/>
        <w:rPr>
          <w:rFonts w:cs="Calibri"/>
          <w:bCs/>
        </w:rPr>
      </w:pPr>
      <w:r w:rsidRPr="00451908">
        <w:rPr>
          <w:rFonts w:cs="Calibri"/>
          <w:bCs/>
        </w:rPr>
        <w:t>Při přepočtu cizích měn na českou korunu používá společnost tyto způsoby</w:t>
      </w:r>
      <w:r>
        <w:rPr>
          <w:rFonts w:cs="Calibri"/>
          <w:bCs/>
        </w:rPr>
        <w:t>:</w:t>
      </w:r>
    </w:p>
    <w:p w14:paraId="5AC205FB" w14:textId="77777777" w:rsidR="00451908" w:rsidRDefault="00451908" w:rsidP="00451908">
      <w:pPr>
        <w:autoSpaceDE w:val="0"/>
        <w:spacing w:after="0" w:line="240" w:lineRule="auto"/>
        <w:ind w:firstLine="624"/>
        <w:jc w:val="both"/>
        <w:rPr>
          <w:rFonts w:cs="Calibri"/>
          <w:bCs/>
        </w:rPr>
      </w:pPr>
    </w:p>
    <w:p w14:paraId="606C4C97" w14:textId="77777777" w:rsidR="00451908" w:rsidRDefault="00451908" w:rsidP="00451908">
      <w:pPr>
        <w:pStyle w:val="Odstavecseseznamem"/>
        <w:numPr>
          <w:ilvl w:val="0"/>
          <w:numId w:val="34"/>
        </w:num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aktuální denní kurz ČNB</w:t>
      </w:r>
    </w:p>
    <w:p w14:paraId="35C337F7" w14:textId="77777777" w:rsidR="00451908" w:rsidRDefault="00451908" w:rsidP="00451908">
      <w:pPr>
        <w:pStyle w:val="Odstavecseseznamem"/>
        <w:autoSpaceDE w:val="0"/>
        <w:spacing w:after="0" w:line="240" w:lineRule="auto"/>
        <w:ind w:left="984"/>
        <w:jc w:val="both"/>
        <w:rPr>
          <w:rFonts w:cs="Calibri"/>
          <w:bCs/>
        </w:rPr>
      </w:pPr>
    </w:p>
    <w:p w14:paraId="1D46C2EB" w14:textId="77777777" w:rsidR="00451908" w:rsidRPr="00451908" w:rsidRDefault="00451908" w:rsidP="00451908">
      <w:pPr>
        <w:pStyle w:val="Odstavecseseznamem"/>
        <w:numPr>
          <w:ilvl w:val="0"/>
          <w:numId w:val="34"/>
        </w:num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při nákupu cizí měny u ČSOB nebo ČS z korunového účtu (na úhradu zahraničních faktur) se používá kurz nákupu u banky, kterým banka provedla odepsání částky v Kč z bankovního účtu vedený v Kč a převedla</w:t>
      </w:r>
      <w:r w:rsidR="004534B6">
        <w:rPr>
          <w:rFonts w:cs="Calibri"/>
          <w:bCs/>
        </w:rPr>
        <w:t xml:space="preserve"> tuto částku</w:t>
      </w:r>
      <w:r>
        <w:rPr>
          <w:rFonts w:cs="Calibri"/>
          <w:bCs/>
        </w:rPr>
        <w:t xml:space="preserve"> na </w:t>
      </w:r>
      <w:r w:rsidR="00892C3D">
        <w:rPr>
          <w:rFonts w:cs="Calibri"/>
          <w:bCs/>
        </w:rPr>
        <w:t xml:space="preserve">bankovní </w:t>
      </w:r>
      <w:r>
        <w:rPr>
          <w:rFonts w:cs="Calibri"/>
          <w:bCs/>
        </w:rPr>
        <w:t>účet vedený v EUR nebo USD.</w:t>
      </w:r>
    </w:p>
    <w:p w14:paraId="3EB07016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1C8D71C" w14:textId="535447DA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629BCC2E" w14:textId="77777777" w:rsidR="002D0727" w:rsidRDefault="002D0727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9E6518E" w14:textId="77777777" w:rsidR="002D0727" w:rsidRDefault="002D0727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63555A39" w14:textId="77777777" w:rsidR="00F47421" w:rsidRDefault="00F4742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60F0FBDA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7FABA42" w14:textId="77777777" w:rsidR="006B18F1" w:rsidRDefault="00691129">
      <w:pPr>
        <w:pStyle w:val="Nadpis2"/>
      </w:pPr>
      <w:r>
        <w:t>Stanovení reálné hodnoty majetku a závazků</w:t>
      </w:r>
    </w:p>
    <w:p w14:paraId="08C82436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121E1DF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BE2C89C" w14:textId="77777777" w:rsidR="006B18F1" w:rsidRDefault="00451908" w:rsidP="00451908">
      <w:pPr>
        <w:pStyle w:val="Odstavecseseznamem"/>
        <w:numPr>
          <w:ilvl w:val="0"/>
          <w:numId w:val="34"/>
        </w:num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Účetní jednotka nepoužívá stanovení reálné hodnoty majetku a závazků</w:t>
      </w:r>
    </w:p>
    <w:p w14:paraId="1636BCAD" w14:textId="77777777" w:rsidR="00451908" w:rsidRPr="00451908" w:rsidRDefault="00451908" w:rsidP="00451908">
      <w:pPr>
        <w:pStyle w:val="Odstavecseseznamem"/>
        <w:autoSpaceDE w:val="0"/>
        <w:spacing w:after="0" w:line="240" w:lineRule="auto"/>
        <w:ind w:left="984"/>
        <w:jc w:val="both"/>
        <w:rPr>
          <w:rFonts w:cs="Calibri"/>
          <w:bCs/>
        </w:rPr>
      </w:pPr>
    </w:p>
    <w:p w14:paraId="4CF0FA13" w14:textId="77777777" w:rsidR="006B18F1" w:rsidRDefault="006B18F1">
      <w:pPr>
        <w:autoSpaceDE w:val="0"/>
        <w:spacing w:after="0" w:line="240" w:lineRule="auto"/>
        <w:rPr>
          <w:rFonts w:cs="Calibri"/>
          <w:bCs/>
        </w:rPr>
      </w:pPr>
    </w:p>
    <w:p w14:paraId="591DBE7E" w14:textId="77777777" w:rsidR="006B18F1" w:rsidRDefault="006B18F1">
      <w:pPr>
        <w:autoSpaceDE w:val="0"/>
        <w:spacing w:after="0" w:line="240" w:lineRule="auto"/>
        <w:rPr>
          <w:rFonts w:cs="Calibri"/>
          <w:bCs/>
        </w:rPr>
      </w:pPr>
    </w:p>
    <w:p w14:paraId="6521CEB9" w14:textId="77777777" w:rsidR="006B18F1" w:rsidRDefault="00691129">
      <w:pPr>
        <w:pStyle w:val="Nadpis1"/>
      </w:pPr>
      <w:bookmarkStart w:id="25" w:name="_Toc438216070"/>
      <w:bookmarkStart w:id="26" w:name="_Toc438557602"/>
      <w:r>
        <w:lastRenderedPageBreak/>
        <w:t>Informace k položkám závazkových vztahů</w:t>
      </w:r>
      <w:bookmarkEnd w:id="25"/>
      <w:bookmarkEnd w:id="26"/>
      <w:r>
        <w:t xml:space="preserve"> </w:t>
      </w:r>
    </w:p>
    <w:p w14:paraId="5D047F13" w14:textId="11546F5B" w:rsidR="006B18F1" w:rsidRDefault="006B18F1">
      <w:pPr>
        <w:autoSpaceDE w:val="0"/>
        <w:spacing w:after="0" w:line="240" w:lineRule="auto"/>
        <w:rPr>
          <w:rFonts w:cs="Calibri"/>
          <w:b/>
          <w:bCs/>
        </w:rPr>
      </w:pPr>
    </w:p>
    <w:p w14:paraId="6F40AF3A" w14:textId="77777777" w:rsidR="00F47421" w:rsidRDefault="00F47421">
      <w:pPr>
        <w:autoSpaceDE w:val="0"/>
        <w:spacing w:after="0" w:line="240" w:lineRule="auto"/>
        <w:rPr>
          <w:rFonts w:cs="Calibri"/>
          <w:b/>
          <w:bCs/>
        </w:rPr>
      </w:pPr>
    </w:p>
    <w:p w14:paraId="108BDD03" w14:textId="5F6D1916" w:rsidR="006B18F1" w:rsidRDefault="00691129">
      <w:pPr>
        <w:pStyle w:val="Nadpis2"/>
      </w:pPr>
      <w:r>
        <w:t>Závazkové vztahy (pohledávky a dluhy), které k rozvahovému dni mají dobu splatnosti delší než 5 let</w:t>
      </w:r>
      <w:r w:rsidR="00FE1CEC">
        <w:t xml:space="preserve"> (v tis. Kč)</w:t>
      </w:r>
    </w:p>
    <w:p w14:paraId="60AA7F26" w14:textId="77777777" w:rsidR="00451908" w:rsidRDefault="00451908" w:rsidP="00451908"/>
    <w:p w14:paraId="07DCC474" w14:textId="0AE52B9A" w:rsidR="00451908" w:rsidRDefault="00755087" w:rsidP="00451908">
      <w:pPr>
        <w:pStyle w:val="Odstavecseseznamem"/>
        <w:numPr>
          <w:ilvl w:val="0"/>
          <w:numId w:val="34"/>
        </w:numPr>
      </w:pPr>
      <w:r>
        <w:t>Společnost eviduje pohledávky k 31.12.20</w:t>
      </w:r>
      <w:r w:rsidR="005579D7">
        <w:t>2</w:t>
      </w:r>
      <w:r w:rsidR="005F64E1">
        <w:t>4</w:t>
      </w:r>
      <w:r>
        <w:t xml:space="preserve"> se</w:t>
      </w:r>
      <w:r w:rsidR="004E1DFD">
        <w:t xml:space="preserve"> </w:t>
      </w:r>
      <w:r>
        <w:t xml:space="preserve">splatností delší než pět let v celkové výši </w:t>
      </w:r>
      <w:r w:rsidR="005F64E1">
        <w:t>57 455 200,-</w:t>
      </w:r>
      <w:r>
        <w:t xml:space="preserve"> tis. Kč</w:t>
      </w:r>
    </w:p>
    <w:p w14:paraId="3B693BFB" w14:textId="2F643AA9" w:rsidR="00755087" w:rsidRDefault="00755087" w:rsidP="00451908">
      <w:pPr>
        <w:pStyle w:val="Odstavecseseznamem"/>
        <w:numPr>
          <w:ilvl w:val="0"/>
          <w:numId w:val="34"/>
        </w:numPr>
      </w:pPr>
      <w:r>
        <w:t>Společnost uzavřela v roce 2017 smlouvu o úvěru ve výši 16 mil. Kč s Českou spořitelnou</w:t>
      </w:r>
      <w:r w:rsidR="00DA73A4">
        <w:t>, zůstatek nesplaceného úvěru k 31.12.20</w:t>
      </w:r>
      <w:r w:rsidR="005579D7">
        <w:t>2</w:t>
      </w:r>
      <w:r w:rsidR="004D3875">
        <w:t>4</w:t>
      </w:r>
      <w:r w:rsidR="00DA73A4">
        <w:t xml:space="preserve"> je </w:t>
      </w:r>
      <w:r w:rsidR="004D3875">
        <w:t>4 533</w:t>
      </w:r>
      <w:r w:rsidR="00B67427">
        <w:t xml:space="preserve"> </w:t>
      </w:r>
      <w:r w:rsidR="0075749C">
        <w:t>tis.</w:t>
      </w:r>
      <w:r w:rsidR="00DA73A4">
        <w:t xml:space="preserve">  Kč </w:t>
      </w:r>
    </w:p>
    <w:p w14:paraId="4F2EDB9B" w14:textId="6CDC21C2" w:rsidR="006B18F1" w:rsidRDefault="00472C11" w:rsidP="005579D7">
      <w:pPr>
        <w:pStyle w:val="Odstavecseseznamem"/>
        <w:numPr>
          <w:ilvl w:val="0"/>
          <w:numId w:val="34"/>
        </w:numPr>
      </w:pPr>
      <w:r>
        <w:t>s</w:t>
      </w:r>
      <w:r w:rsidR="00DA73A4">
        <w:t>polečnost uzavřela smlouvu</w:t>
      </w:r>
      <w:r w:rsidR="00011C78">
        <w:t xml:space="preserve"> o úvěru v roce 2018 </w:t>
      </w:r>
      <w:r w:rsidR="00DA73A4">
        <w:t>s Českou spořitelnou ve výši 10 mil Kč. K 31.12.20</w:t>
      </w:r>
      <w:r w:rsidR="005579D7">
        <w:t>2</w:t>
      </w:r>
      <w:r w:rsidR="004D3875">
        <w:t>4</w:t>
      </w:r>
      <w:r w:rsidR="00DA73A4">
        <w:t xml:space="preserve"> byl zůstatek nesplaceného úvěru ve výši </w:t>
      </w:r>
      <w:r w:rsidR="004D3875">
        <w:t>3 898</w:t>
      </w:r>
      <w:r w:rsidR="005D6707">
        <w:t> </w:t>
      </w:r>
      <w:r w:rsidR="0075749C">
        <w:t>tis.</w:t>
      </w:r>
      <w:r w:rsidR="00077CA0">
        <w:t xml:space="preserve"> </w:t>
      </w:r>
      <w:r w:rsidR="00DA73A4">
        <w:t xml:space="preserve">Kč </w:t>
      </w:r>
    </w:p>
    <w:p w14:paraId="0B5059F8" w14:textId="65D79618" w:rsidR="00880023" w:rsidRDefault="00880023" w:rsidP="00B67427">
      <w:pPr>
        <w:pStyle w:val="Odstavecseseznamem"/>
        <w:numPr>
          <w:ilvl w:val="0"/>
          <w:numId w:val="34"/>
        </w:numPr>
      </w:pPr>
      <w:r>
        <w:t xml:space="preserve">společnost uzavřela v dubnu 2021 smlouvu o úvěru </w:t>
      </w:r>
      <w:r w:rsidR="00B67427">
        <w:t xml:space="preserve">s Českou spořitelnou </w:t>
      </w:r>
      <w:r>
        <w:t>ve výši 10 mil. Kč. K 31.12.202</w:t>
      </w:r>
      <w:r w:rsidR="004D3875">
        <w:t>4</w:t>
      </w:r>
      <w:r>
        <w:t xml:space="preserve"> byl zůstatek nesplaceného úvěru </w:t>
      </w:r>
      <w:r w:rsidR="004D3875">
        <w:t>4 814</w:t>
      </w:r>
      <w:r>
        <w:t> </w:t>
      </w:r>
      <w:r w:rsidR="0075749C">
        <w:t>tis.</w:t>
      </w:r>
      <w:r>
        <w:t xml:space="preserve"> Kč</w:t>
      </w:r>
    </w:p>
    <w:p w14:paraId="6D6BC7F6" w14:textId="6BBF8779" w:rsidR="00B67427" w:rsidRPr="00DA73A4" w:rsidRDefault="00B67427" w:rsidP="00B67427">
      <w:pPr>
        <w:pStyle w:val="Odstavecseseznamem"/>
        <w:numPr>
          <w:ilvl w:val="0"/>
          <w:numId w:val="34"/>
        </w:numPr>
      </w:pPr>
      <w:r>
        <w:t>společnost uzavřela v květnu 2022 smlouvu o úvěru s ČSOB ve výši 1 mil. EUR. K 31.12.202</w:t>
      </w:r>
      <w:r w:rsidR="004D3875">
        <w:t>4</w:t>
      </w:r>
      <w:r>
        <w:t xml:space="preserve"> byl zůstatek nesplaceného úvěru </w:t>
      </w:r>
      <w:r w:rsidR="004D3875">
        <w:t>5</w:t>
      </w:r>
      <w:r>
        <w:t>16</w:t>
      </w:r>
      <w:r w:rsidR="00F95211">
        <w:t> </w:t>
      </w:r>
      <w:r>
        <w:t>6</w:t>
      </w:r>
      <w:r w:rsidR="004D3875">
        <w:t>57</w:t>
      </w:r>
      <w:r w:rsidR="00F95211">
        <w:t>,-</w:t>
      </w:r>
      <w:r>
        <w:t xml:space="preserve"> EUR, tj</w:t>
      </w:r>
      <w:r w:rsidR="00F95211">
        <w:t>.</w:t>
      </w:r>
      <w:r>
        <w:t xml:space="preserve"> v přepočtu </w:t>
      </w:r>
      <w:r w:rsidR="00440DCA">
        <w:t>1</w:t>
      </w:r>
      <w:r w:rsidR="004D3875">
        <w:t xml:space="preserve">3 012 </w:t>
      </w:r>
      <w:proofErr w:type="gramStart"/>
      <w:r w:rsidR="004D3875">
        <w:t>tis.</w:t>
      </w:r>
      <w:r w:rsidR="006B46FD">
        <w:t>.</w:t>
      </w:r>
      <w:proofErr w:type="gramEnd"/>
      <w:r w:rsidR="006B46FD">
        <w:t xml:space="preserve"> Kč</w:t>
      </w:r>
    </w:p>
    <w:p w14:paraId="53ABB7D4" w14:textId="5C73295A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9064A12" w14:textId="77777777" w:rsidR="00F47421" w:rsidRDefault="00F4742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DB816C7" w14:textId="77777777" w:rsidR="00892C3D" w:rsidRDefault="00892C3D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A4EDD89" w14:textId="77777777" w:rsidR="006B18F1" w:rsidRDefault="00691129">
      <w:pPr>
        <w:pStyle w:val="Nadpis2"/>
      </w:pPr>
      <w:r>
        <w:t>Závazkové vztahy (pohledávky a dluhy), které jsou kryty věcnými zárukami</w:t>
      </w:r>
    </w:p>
    <w:p w14:paraId="5E959361" w14:textId="77777777" w:rsidR="00DA73A4" w:rsidRDefault="00DA73A4">
      <w:pPr>
        <w:spacing w:after="0"/>
      </w:pPr>
    </w:p>
    <w:p w14:paraId="2B43DC70" w14:textId="776844A5" w:rsidR="006B18F1" w:rsidRDefault="00DA73A4" w:rsidP="00DA73A4">
      <w:pPr>
        <w:pStyle w:val="Odstavecseseznamem"/>
        <w:numPr>
          <w:ilvl w:val="0"/>
          <w:numId w:val="34"/>
        </w:numPr>
        <w:spacing w:after="0"/>
      </w:pPr>
      <w:r>
        <w:t xml:space="preserve">společnost využívá kontokorentní úvěr u ČSOB, který je krytý </w:t>
      </w:r>
      <w:r w:rsidR="00B7048D">
        <w:t>banko</w:t>
      </w:r>
      <w:r w:rsidR="00FE1CEC">
        <w:t xml:space="preserve"> </w:t>
      </w:r>
      <w:r w:rsidR="0049559E">
        <w:t>směnkou</w:t>
      </w:r>
      <w:r>
        <w:t xml:space="preserve"> a pohledávkami</w:t>
      </w:r>
    </w:p>
    <w:p w14:paraId="656C7340" w14:textId="77777777" w:rsidR="00DA73A4" w:rsidRDefault="00DA73A4" w:rsidP="00DA73A4">
      <w:pPr>
        <w:pStyle w:val="Odstavecseseznamem"/>
        <w:spacing w:after="0"/>
        <w:ind w:left="984"/>
      </w:pPr>
    </w:p>
    <w:p w14:paraId="0C8E51CB" w14:textId="3ADCE85B" w:rsidR="00DA73A4" w:rsidRDefault="00DA73A4" w:rsidP="00DA73A4">
      <w:pPr>
        <w:pStyle w:val="Odstavecseseznamem"/>
        <w:numPr>
          <w:ilvl w:val="0"/>
          <w:numId w:val="34"/>
        </w:numPr>
        <w:spacing w:after="0"/>
      </w:pPr>
      <w:r>
        <w:t xml:space="preserve">úvěr u České spořitelny je krytý zástavou nemovitosti č.p. 138, Bynovec, </w:t>
      </w:r>
      <w:r w:rsidR="00472C11">
        <w:t>zřízením zástavního práva s právními účinky k 6.10.2017</w:t>
      </w:r>
    </w:p>
    <w:p w14:paraId="5951D732" w14:textId="77777777" w:rsidR="001C6DCD" w:rsidRDefault="001C6DCD" w:rsidP="001C6DCD">
      <w:pPr>
        <w:pStyle w:val="Odstavecseseznamem"/>
      </w:pPr>
    </w:p>
    <w:p w14:paraId="3B28403F" w14:textId="77777777" w:rsidR="00296FEF" w:rsidRDefault="001C6DCD" w:rsidP="00DA73A4">
      <w:pPr>
        <w:pStyle w:val="Odstavecseseznamem"/>
        <w:numPr>
          <w:ilvl w:val="0"/>
          <w:numId w:val="34"/>
        </w:numPr>
        <w:spacing w:after="0"/>
      </w:pPr>
      <w:r>
        <w:t>další úvěr u České spořitelny je krytý zástavou pozemků</w:t>
      </w:r>
      <w:r w:rsidR="00D17980">
        <w:t xml:space="preserve"> na Bynovci, které jsou</w:t>
      </w:r>
      <w:r>
        <w:t xml:space="preserve"> </w:t>
      </w:r>
      <w:r w:rsidR="00562AE4">
        <w:t>v majetku</w:t>
      </w:r>
      <w:r>
        <w:t xml:space="preserve"> firmy </w:t>
      </w:r>
      <w:proofErr w:type="spellStart"/>
      <w:r>
        <w:t>HUDYsport</w:t>
      </w:r>
      <w:proofErr w:type="spellEnd"/>
      <w:r w:rsidR="00562AE4">
        <w:t xml:space="preserve"> a.s.</w:t>
      </w:r>
      <w:r w:rsidR="00D17980">
        <w:t>, zřízením zástavního práva s právními účinky 23.4.2021</w:t>
      </w:r>
    </w:p>
    <w:p w14:paraId="1235717A" w14:textId="77777777" w:rsidR="00296FEF" w:rsidRDefault="00296FEF" w:rsidP="00296FEF">
      <w:pPr>
        <w:pStyle w:val="Odstavecseseznamem"/>
      </w:pPr>
    </w:p>
    <w:p w14:paraId="4AE48FAB" w14:textId="7B5F6D8A" w:rsidR="006B18F1" w:rsidRDefault="000F4788" w:rsidP="001A50BD">
      <w:pPr>
        <w:pStyle w:val="Odstavecseseznamem"/>
        <w:numPr>
          <w:ilvl w:val="0"/>
          <w:numId w:val="34"/>
        </w:numPr>
        <w:spacing w:after="0"/>
      </w:pPr>
      <w:r>
        <w:t xml:space="preserve"> ručení je zajištěno právnickou a fyzickou osobou</w:t>
      </w:r>
    </w:p>
    <w:p w14:paraId="3D68726E" w14:textId="16FA2EC3" w:rsidR="00892C3D" w:rsidRDefault="00892C3D">
      <w:pPr>
        <w:spacing w:after="0"/>
      </w:pPr>
    </w:p>
    <w:p w14:paraId="16E0AA69" w14:textId="5633BD9E" w:rsidR="001A50BD" w:rsidRDefault="001A50BD" w:rsidP="006B46FD">
      <w:pPr>
        <w:pStyle w:val="Odstavecseseznamem"/>
        <w:spacing w:after="0"/>
        <w:ind w:left="984"/>
      </w:pPr>
    </w:p>
    <w:p w14:paraId="592D77A9" w14:textId="77777777" w:rsidR="001A50BD" w:rsidRDefault="001A50BD">
      <w:pPr>
        <w:spacing w:after="0"/>
      </w:pPr>
    </w:p>
    <w:p w14:paraId="6AFAC199" w14:textId="77777777" w:rsidR="006B18F1" w:rsidRDefault="00691129">
      <w:pPr>
        <w:pStyle w:val="Nadpis2"/>
      </w:pPr>
      <w:r>
        <w:t>Zálohy, závdavky, zápůjčky a úvěry poskytnuté členům řídících, kontrolních a případně správních orgánů</w:t>
      </w:r>
    </w:p>
    <w:p w14:paraId="30E1EA0B" w14:textId="77777777" w:rsidR="006B18F1" w:rsidRDefault="006B18F1">
      <w:pPr>
        <w:spacing w:after="0"/>
      </w:pPr>
    </w:p>
    <w:p w14:paraId="65DC6B5B" w14:textId="77777777" w:rsidR="006B18F1" w:rsidRDefault="00472C11" w:rsidP="00472C11">
      <w:pPr>
        <w:pStyle w:val="Odstavecseseznamem"/>
        <w:numPr>
          <w:ilvl w:val="0"/>
          <w:numId w:val="34"/>
        </w:numPr>
        <w:spacing w:after="0"/>
      </w:pPr>
      <w:r>
        <w:t>nebyly poskytnuty žádné zálohy, zápůjčky nebo úvěry členům řídících, kontrolních nebo správních orgánů</w:t>
      </w:r>
    </w:p>
    <w:p w14:paraId="540F6736" w14:textId="77777777" w:rsidR="006B18F1" w:rsidRDefault="006B18F1">
      <w:pPr>
        <w:spacing w:after="0"/>
      </w:pPr>
    </w:p>
    <w:p w14:paraId="6DF764B2" w14:textId="77777777" w:rsidR="006B18F1" w:rsidRDefault="006B18F1">
      <w:pPr>
        <w:spacing w:after="0"/>
      </w:pPr>
    </w:p>
    <w:p w14:paraId="46DEF7F3" w14:textId="77777777" w:rsidR="006B18F1" w:rsidRDefault="00691129">
      <w:pPr>
        <w:pStyle w:val="Nadpis2"/>
      </w:pPr>
      <w:r>
        <w:t>Závazkové vztahy (pohledávky a dluhy), podmíněné závazkové vztahy a poskytnuté věcné záruky, které nejsou vykázány v rozvaze</w:t>
      </w:r>
    </w:p>
    <w:p w14:paraId="72DB05B5" w14:textId="77777777" w:rsidR="006B18F1" w:rsidRDefault="006B18F1">
      <w:pPr>
        <w:spacing w:after="0"/>
      </w:pPr>
    </w:p>
    <w:p w14:paraId="5776E830" w14:textId="77777777" w:rsidR="006B18F1" w:rsidRDefault="00472C11" w:rsidP="00472C11">
      <w:pPr>
        <w:pStyle w:val="Odstavecseseznamem"/>
        <w:numPr>
          <w:ilvl w:val="0"/>
          <w:numId w:val="34"/>
        </w:numPr>
        <w:spacing w:after="0"/>
      </w:pPr>
      <w:r>
        <w:t>společnost nemá žádné závazkové vztahy, které by nebyly vykázány v rozvaze</w:t>
      </w:r>
    </w:p>
    <w:p w14:paraId="07B667F6" w14:textId="77777777" w:rsidR="006B18F1" w:rsidRDefault="006B18F1">
      <w:pPr>
        <w:spacing w:after="0"/>
      </w:pPr>
    </w:p>
    <w:p w14:paraId="7BBEF8C4" w14:textId="77777777" w:rsidR="006B18F1" w:rsidRDefault="006B18F1">
      <w:pPr>
        <w:spacing w:after="0"/>
      </w:pPr>
    </w:p>
    <w:p w14:paraId="685A8471" w14:textId="77777777" w:rsidR="006B18F1" w:rsidRDefault="00691129">
      <w:pPr>
        <w:pStyle w:val="Nadpis2"/>
      </w:pPr>
      <w:r>
        <w:t>Penzijní závazky a závazky vůči účetním jednotkám v konsolidačním celku a přidruženým účetním jednotkám</w:t>
      </w:r>
    </w:p>
    <w:p w14:paraId="7397CC06" w14:textId="77777777" w:rsidR="006B18F1" w:rsidRDefault="006B18F1">
      <w:pPr>
        <w:spacing w:after="0"/>
      </w:pPr>
    </w:p>
    <w:p w14:paraId="217AEE61" w14:textId="77777777" w:rsidR="006B18F1" w:rsidRDefault="00472C11" w:rsidP="00472C11">
      <w:pPr>
        <w:pStyle w:val="Odstavecseseznamem"/>
        <w:numPr>
          <w:ilvl w:val="0"/>
          <w:numId w:val="34"/>
        </w:numPr>
        <w:spacing w:after="0"/>
      </w:pPr>
      <w:r>
        <w:t>společnost nemá žádné penzijní vztahy a závazky vůči účetním jednotkám v konsolidačním celku a k přidruženým účetním jednotkám</w:t>
      </w:r>
    </w:p>
    <w:p w14:paraId="0417BDCF" w14:textId="77777777" w:rsidR="006B18F1" w:rsidRDefault="006B18F1">
      <w:pPr>
        <w:spacing w:after="0"/>
      </w:pPr>
    </w:p>
    <w:p w14:paraId="1DD95504" w14:textId="77777777" w:rsidR="006B18F1" w:rsidRDefault="006B18F1">
      <w:pPr>
        <w:spacing w:after="0"/>
      </w:pPr>
    </w:p>
    <w:p w14:paraId="359F3160" w14:textId="77777777" w:rsidR="006B18F1" w:rsidRDefault="00691129">
      <w:pPr>
        <w:pStyle w:val="Nadpis1"/>
      </w:pPr>
      <w:bookmarkStart w:id="27" w:name="_Toc438216071"/>
      <w:bookmarkStart w:id="28" w:name="_Toc438557603"/>
      <w:r>
        <w:t>Výše a povaha jednotlivých položek výnosů a nákladů, které jsou mimořádné svým objemem nebo původem</w:t>
      </w:r>
      <w:bookmarkEnd w:id="27"/>
      <w:bookmarkEnd w:id="28"/>
    </w:p>
    <w:p w14:paraId="37360F2F" w14:textId="77777777" w:rsidR="006B18F1" w:rsidRDefault="006B18F1">
      <w:pPr>
        <w:spacing w:after="0"/>
      </w:pPr>
    </w:p>
    <w:p w14:paraId="2FF159B6" w14:textId="77777777" w:rsidR="006B18F1" w:rsidRDefault="00472C11" w:rsidP="00472C11">
      <w:pPr>
        <w:pStyle w:val="Odstavecseseznamem"/>
        <w:numPr>
          <w:ilvl w:val="0"/>
          <w:numId w:val="34"/>
        </w:numPr>
        <w:spacing w:after="0"/>
      </w:pPr>
      <w:r>
        <w:t>v účetním období neproběhly žádné položky výnosů a nákladů mimořádné svým objemem nebo původem</w:t>
      </w:r>
    </w:p>
    <w:p w14:paraId="590B7A93" w14:textId="77777777" w:rsidR="006B18F1" w:rsidRDefault="006B18F1">
      <w:pPr>
        <w:spacing w:after="0"/>
      </w:pPr>
    </w:p>
    <w:p w14:paraId="286A42FA" w14:textId="77777777" w:rsidR="006B18F1" w:rsidRDefault="006B18F1">
      <w:pPr>
        <w:spacing w:after="0"/>
      </w:pPr>
    </w:p>
    <w:p w14:paraId="0F98480A" w14:textId="77777777" w:rsidR="006B18F1" w:rsidRDefault="00691129">
      <w:pPr>
        <w:pStyle w:val="Nadpis1"/>
      </w:pPr>
      <w:bookmarkStart w:id="29" w:name="_Toc438216072"/>
      <w:bookmarkStart w:id="30" w:name="_Toc438557604"/>
      <w:r>
        <w:t>Průměrný počet zaměstnanců dle kategorií v průběhu účetního období</w:t>
      </w:r>
      <w:bookmarkEnd w:id="29"/>
      <w:bookmarkEnd w:id="30"/>
      <w:r>
        <w:t xml:space="preserve"> </w:t>
      </w:r>
    </w:p>
    <w:p w14:paraId="60106B97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tbl>
      <w:tblPr>
        <w:tblW w:w="8647" w:type="dxa"/>
        <w:tblInd w:w="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2694"/>
      </w:tblGrid>
      <w:tr w:rsidR="006B18F1" w14:paraId="3B55CFD5" w14:textId="77777777">
        <w:trPr>
          <w:trHeight w:val="315"/>
        </w:trPr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C7664" w14:textId="77777777" w:rsidR="006B18F1" w:rsidRDefault="00691129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cs-CZ"/>
              </w:rPr>
            </w:pPr>
            <w:bookmarkStart w:id="31" w:name="_Hlk44610973"/>
            <w:r>
              <w:rPr>
                <w:rFonts w:eastAsia="Times New Roman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6C1CE" w14:textId="77777777" w:rsidR="006B18F1" w:rsidRDefault="0069112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 xml:space="preserve"> Sledované účetní období</w:t>
            </w:r>
          </w:p>
        </w:tc>
      </w:tr>
      <w:bookmarkEnd w:id="31"/>
      <w:tr w:rsidR="006B18F1" w14:paraId="4620202A" w14:textId="77777777">
        <w:trPr>
          <w:trHeight w:val="300"/>
        </w:trPr>
        <w:tc>
          <w:tcPr>
            <w:tcW w:w="5953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2E99B" w14:textId="77777777" w:rsidR="006B18F1" w:rsidRDefault="0069112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Průměrný </w:t>
            </w:r>
            <w:r w:rsidR="005579D7">
              <w:rPr>
                <w:rFonts w:eastAsia="Times New Roman" w:cs="Calibri"/>
                <w:color w:val="000000"/>
                <w:lang w:eastAsia="cs-CZ"/>
              </w:rPr>
              <w:t xml:space="preserve">přepočtený </w:t>
            </w:r>
            <w:r>
              <w:rPr>
                <w:rFonts w:eastAsia="Times New Roman" w:cs="Calibri"/>
                <w:color w:val="000000"/>
                <w:lang w:eastAsia="cs-CZ"/>
              </w:rPr>
              <w:t>počet zaměstnanců</w:t>
            </w:r>
            <w:r w:rsidR="005579D7">
              <w:rPr>
                <w:rFonts w:eastAsia="Times New Roman" w:cs="Calibri"/>
                <w:color w:val="000000"/>
                <w:lang w:eastAsia="cs-CZ"/>
              </w:rPr>
              <w:t>, zaokr.na celé číslo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8C73B" w14:textId="24F343A0" w:rsidR="006B18F1" w:rsidRDefault="0069112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  <w:r w:rsidR="00472C11">
              <w:rPr>
                <w:rFonts w:eastAsia="Times New Roman" w:cs="Calibri"/>
                <w:color w:val="000000"/>
                <w:lang w:eastAsia="cs-CZ"/>
              </w:rPr>
              <w:t xml:space="preserve">                   </w:t>
            </w:r>
            <w:r w:rsidR="004D3875">
              <w:rPr>
                <w:rFonts w:eastAsia="Times New Roman" w:cs="Calibri"/>
                <w:color w:val="000000"/>
                <w:lang w:eastAsia="cs-CZ"/>
              </w:rPr>
              <w:t>59</w:t>
            </w:r>
            <w:r w:rsidR="00472C11">
              <w:rPr>
                <w:rFonts w:eastAsia="Times New Roman" w:cs="Calibri"/>
                <w:color w:val="000000"/>
                <w:lang w:eastAsia="cs-CZ"/>
              </w:rPr>
              <w:t xml:space="preserve">  </w:t>
            </w:r>
          </w:p>
        </w:tc>
      </w:tr>
      <w:tr w:rsidR="006B18F1" w14:paraId="6FECBDDF" w14:textId="77777777">
        <w:trPr>
          <w:trHeight w:val="300"/>
        </w:trPr>
        <w:tc>
          <w:tcPr>
            <w:tcW w:w="59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EBD4E" w14:textId="77777777" w:rsidR="006B18F1" w:rsidRDefault="006B18F1" w:rsidP="001478A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12F34" w14:textId="77777777" w:rsidR="006B18F1" w:rsidRDefault="006B18F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1478A7" w14:paraId="22C6C7E9" w14:textId="77777777">
        <w:trPr>
          <w:trHeight w:val="315"/>
        </w:trPr>
        <w:tc>
          <w:tcPr>
            <w:tcW w:w="59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7F706" w14:textId="77777777" w:rsidR="001478A7" w:rsidRDefault="001478A7" w:rsidP="001478A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Počet členů řídících orgánů</w:t>
            </w:r>
          </w:p>
          <w:p w14:paraId="230C9073" w14:textId="77777777" w:rsidR="001478A7" w:rsidRDefault="001478A7" w:rsidP="001478A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Počet členů kontrolních orgánů</w:t>
            </w:r>
          </w:p>
          <w:p w14:paraId="340E5B81" w14:textId="77777777" w:rsidR="001478A7" w:rsidRDefault="001478A7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92188" w14:textId="77777777" w:rsidR="001478A7" w:rsidRDefault="001478A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  <w:p w14:paraId="15E824B1" w14:textId="77777777" w:rsidR="001478A7" w:rsidRDefault="001478A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 3</w:t>
            </w:r>
          </w:p>
          <w:p w14:paraId="05D45C51" w14:textId="77777777" w:rsidR="001478A7" w:rsidRDefault="001478A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 3</w:t>
            </w:r>
          </w:p>
          <w:p w14:paraId="3EE643E0" w14:textId="77777777" w:rsidR="001478A7" w:rsidRDefault="001478A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14:paraId="3EEFFFD3" w14:textId="77777777" w:rsidR="006B18F1" w:rsidRDefault="006B18F1">
      <w:pPr>
        <w:autoSpaceDE w:val="0"/>
        <w:spacing w:after="0" w:line="240" w:lineRule="auto"/>
        <w:rPr>
          <w:rFonts w:cs="Calibri"/>
          <w:bCs/>
        </w:rPr>
      </w:pPr>
    </w:p>
    <w:p w14:paraId="183614C0" w14:textId="4BA2701D" w:rsidR="006B18F1" w:rsidRDefault="006B18F1">
      <w:pPr>
        <w:autoSpaceDE w:val="0"/>
        <w:spacing w:after="0" w:line="240" w:lineRule="auto"/>
        <w:rPr>
          <w:rFonts w:cs="Calibri"/>
          <w:bCs/>
        </w:rPr>
      </w:pPr>
    </w:p>
    <w:p w14:paraId="0A991E27" w14:textId="77777777" w:rsidR="00FE1CEC" w:rsidRDefault="00FE1CEC">
      <w:pPr>
        <w:autoSpaceDE w:val="0"/>
        <w:spacing w:after="0" w:line="240" w:lineRule="auto"/>
        <w:rPr>
          <w:rFonts w:cs="Calibri"/>
          <w:bCs/>
        </w:rPr>
      </w:pPr>
    </w:p>
    <w:p w14:paraId="6DC6CE15" w14:textId="77777777" w:rsidR="006B18F1" w:rsidRDefault="00691129">
      <w:pPr>
        <w:pStyle w:val="Nadpis1"/>
      </w:pPr>
      <w:bookmarkStart w:id="32" w:name="_Toc438216073"/>
      <w:bookmarkStart w:id="33" w:name="_Toc438557605"/>
      <w:r>
        <w:t>Informace o konsolidovaných účetních jednotkách a přidružených účetních jednotkách</w:t>
      </w:r>
      <w:bookmarkEnd w:id="32"/>
      <w:bookmarkEnd w:id="33"/>
    </w:p>
    <w:p w14:paraId="7EDCEEA4" w14:textId="1F8F349D" w:rsidR="006B18F1" w:rsidRDefault="006B18F1">
      <w:pPr>
        <w:autoSpaceDE w:val="0"/>
        <w:spacing w:after="0" w:line="240" w:lineRule="auto"/>
        <w:rPr>
          <w:rFonts w:cs="Calibri"/>
          <w:bCs/>
        </w:rPr>
      </w:pPr>
    </w:p>
    <w:p w14:paraId="53E23E48" w14:textId="77777777" w:rsidR="00F47421" w:rsidRDefault="00F47421">
      <w:pPr>
        <w:autoSpaceDE w:val="0"/>
        <w:spacing w:after="0" w:line="240" w:lineRule="auto"/>
        <w:rPr>
          <w:rFonts w:cs="Calibri"/>
          <w:bCs/>
        </w:rPr>
      </w:pPr>
    </w:p>
    <w:p w14:paraId="69365676" w14:textId="77777777" w:rsidR="007D7C49" w:rsidRDefault="007D7C49">
      <w:pPr>
        <w:autoSpaceDE w:val="0"/>
        <w:spacing w:after="0" w:line="240" w:lineRule="auto"/>
        <w:rPr>
          <w:rFonts w:cs="Calibri"/>
          <w:bCs/>
        </w:rPr>
      </w:pPr>
    </w:p>
    <w:p w14:paraId="65C9C38C" w14:textId="77777777" w:rsidR="007D7C49" w:rsidRDefault="007D7C49">
      <w:pPr>
        <w:autoSpaceDE w:val="0"/>
        <w:spacing w:after="0" w:line="240" w:lineRule="auto"/>
        <w:rPr>
          <w:rFonts w:cs="Calibri"/>
          <w:bCs/>
        </w:rPr>
      </w:pPr>
    </w:p>
    <w:p w14:paraId="7CBC02E2" w14:textId="77777777" w:rsidR="006B18F1" w:rsidRDefault="00691129">
      <w:pPr>
        <w:pStyle w:val="Nadpis2"/>
      </w:pPr>
      <w:r>
        <w:t>Účetní jednotky, v nichž je účetní jednotka společníkem s neomezeným ručením</w:t>
      </w:r>
    </w:p>
    <w:p w14:paraId="53C79B4D" w14:textId="77777777" w:rsidR="006B18F1" w:rsidRDefault="006B18F1">
      <w:pPr>
        <w:spacing w:after="0"/>
      </w:pPr>
    </w:p>
    <w:p w14:paraId="63128F50" w14:textId="593AEC53" w:rsidR="00793E8D" w:rsidRDefault="008E2689" w:rsidP="00793E8D">
      <w:pPr>
        <w:pStyle w:val="Odstavecseseznamem"/>
        <w:numPr>
          <w:ilvl w:val="0"/>
          <w:numId w:val="34"/>
        </w:numPr>
        <w:spacing w:after="0"/>
      </w:pPr>
      <w:r>
        <w:t>ú</w:t>
      </w:r>
      <w:r w:rsidR="00892C3D">
        <w:t xml:space="preserve">četní jednotka </w:t>
      </w:r>
      <w:proofErr w:type="spellStart"/>
      <w:r w:rsidR="00892C3D">
        <w:t>HUDYsport</w:t>
      </w:r>
      <w:proofErr w:type="spellEnd"/>
      <w:r w:rsidR="00892C3D">
        <w:t xml:space="preserve"> a.s. dělá svoji závěrku samostatně. Účetní závěrku zveřejňuje v OR samostatně.</w:t>
      </w:r>
    </w:p>
    <w:p w14:paraId="1A11F6D2" w14:textId="77777777" w:rsidR="005359DA" w:rsidRDefault="005359DA" w:rsidP="00EC566F">
      <w:pPr>
        <w:spacing w:after="0"/>
      </w:pPr>
    </w:p>
    <w:p w14:paraId="21CAB24A" w14:textId="77777777" w:rsidR="00A45D44" w:rsidRDefault="00A45D44" w:rsidP="00EC566F">
      <w:pPr>
        <w:spacing w:after="0"/>
      </w:pPr>
    </w:p>
    <w:p w14:paraId="76649DED" w14:textId="77777777" w:rsidR="00A45D44" w:rsidRDefault="00A45D44" w:rsidP="00EC566F">
      <w:pPr>
        <w:spacing w:after="0"/>
      </w:pPr>
    </w:p>
    <w:p w14:paraId="0F5B132C" w14:textId="77777777" w:rsidR="00A45D44" w:rsidRDefault="00A45D44" w:rsidP="00EC566F">
      <w:pPr>
        <w:spacing w:after="0"/>
      </w:pPr>
    </w:p>
    <w:p w14:paraId="461C526E" w14:textId="77777777" w:rsidR="00A45D44" w:rsidRDefault="00A45D44" w:rsidP="00EC566F">
      <w:pPr>
        <w:spacing w:after="0"/>
      </w:pPr>
    </w:p>
    <w:p w14:paraId="08DC4431" w14:textId="0E9C2098" w:rsidR="00356AEF" w:rsidRDefault="00CF7711" w:rsidP="00CF7711">
      <w:pPr>
        <w:pStyle w:val="Odstavecseseznamem"/>
        <w:numPr>
          <w:ilvl w:val="0"/>
          <w:numId w:val="34"/>
        </w:numPr>
        <w:spacing w:after="0"/>
      </w:pPr>
      <w:r>
        <w:t>Dne 31.10.2023 byla sepsána smlouva o převodu obchodního podílu mezi</w:t>
      </w:r>
      <w:r w:rsidR="00EF2FD2">
        <w:t xml:space="preserve"> nabyvatelem,</w:t>
      </w:r>
      <w:r>
        <w:t xml:space="preserve"> firmou </w:t>
      </w:r>
      <w:proofErr w:type="spellStart"/>
      <w:r>
        <w:t>HUDYsport</w:t>
      </w:r>
      <w:proofErr w:type="spellEnd"/>
      <w:r>
        <w:t xml:space="preserve"> a.s.</w:t>
      </w:r>
      <w:r w:rsidR="00EF2FD2">
        <w:t>,</w:t>
      </w:r>
      <w:r>
        <w:t xml:space="preserve"> a </w:t>
      </w:r>
      <w:proofErr w:type="gramStart"/>
      <w:r w:rsidR="00EF2FD2">
        <w:t xml:space="preserve">převodci </w:t>
      </w:r>
      <w:r>
        <w:t xml:space="preserve"> obchodní</w:t>
      </w:r>
      <w:proofErr w:type="gramEnd"/>
      <w:r>
        <w:t xml:space="preserve"> společnosti</w:t>
      </w:r>
      <w:r w:rsidR="00EF2FD2">
        <w:t xml:space="preserve"> HUPP SPORT s.r.o. Robertem </w:t>
      </w:r>
      <w:proofErr w:type="spellStart"/>
      <w:r w:rsidR="00EF2FD2">
        <w:t>Pučelíkem</w:t>
      </w:r>
      <w:proofErr w:type="spellEnd"/>
      <w:r w:rsidR="00EF2FD2">
        <w:t xml:space="preserve"> a Jindřichem Hudečkem. Základní kapitál převedené společnosti je ve výši 10 tisíc Kč.</w:t>
      </w:r>
    </w:p>
    <w:p w14:paraId="1E7DA313" w14:textId="77777777" w:rsidR="00FA4D67" w:rsidRDefault="00FA4D67">
      <w:pPr>
        <w:spacing w:after="0"/>
      </w:pPr>
    </w:p>
    <w:p w14:paraId="61BCFF57" w14:textId="405281C0" w:rsidR="006B18F1" w:rsidRDefault="00892C3D" w:rsidP="00892C3D">
      <w:pPr>
        <w:spacing w:after="0"/>
        <w:ind w:left="624"/>
      </w:pPr>
      <w:r w:rsidRPr="00F54A1E">
        <w:rPr>
          <w:b/>
          <w:bCs/>
        </w:rPr>
        <w:t xml:space="preserve">V níže </w:t>
      </w:r>
      <w:r w:rsidR="006E04A0">
        <w:rPr>
          <w:b/>
          <w:bCs/>
        </w:rPr>
        <w:t>uvedených</w:t>
      </w:r>
      <w:r w:rsidRPr="00F54A1E">
        <w:rPr>
          <w:b/>
          <w:bCs/>
        </w:rPr>
        <w:t xml:space="preserve"> účetních jednotkách je firma </w:t>
      </w:r>
      <w:proofErr w:type="spellStart"/>
      <w:r w:rsidRPr="00F54A1E">
        <w:rPr>
          <w:b/>
          <w:bCs/>
        </w:rPr>
        <w:t>HUDYsport</w:t>
      </w:r>
      <w:proofErr w:type="spellEnd"/>
      <w:r w:rsidRPr="00F54A1E">
        <w:rPr>
          <w:b/>
          <w:bCs/>
        </w:rPr>
        <w:t xml:space="preserve"> a.s. společníkem</w:t>
      </w:r>
      <w:r>
        <w:t>:</w:t>
      </w:r>
    </w:p>
    <w:p w14:paraId="2A9C88D8" w14:textId="7A35DCCD" w:rsidR="00892C3D" w:rsidRDefault="00BC1B7D" w:rsidP="00892C3D">
      <w:pPr>
        <w:spacing w:after="0"/>
        <w:ind w:left="624"/>
      </w:pPr>
      <w:r>
        <w:t>(údaje uvedeny v tisících Kč)</w:t>
      </w:r>
    </w:p>
    <w:p w14:paraId="781EBD82" w14:textId="77777777" w:rsidR="00163727" w:rsidRDefault="00163727" w:rsidP="00892C3D">
      <w:pPr>
        <w:spacing w:after="0"/>
        <w:ind w:left="624"/>
      </w:pPr>
    </w:p>
    <w:p w14:paraId="4D275D5F" w14:textId="77777777" w:rsidR="00BC1B7D" w:rsidRDefault="00BC1B7D" w:rsidP="00355106">
      <w:pPr>
        <w:spacing w:after="0"/>
      </w:pPr>
    </w:p>
    <w:p w14:paraId="523A90F2" w14:textId="77777777" w:rsidR="00892C3D" w:rsidRPr="00892C3D" w:rsidRDefault="00892C3D" w:rsidP="00892C3D">
      <w:pPr>
        <w:pStyle w:val="Odstavecseseznamem"/>
        <w:numPr>
          <w:ilvl w:val="0"/>
          <w:numId w:val="36"/>
        </w:numPr>
        <w:spacing w:after="0"/>
        <w:rPr>
          <w:b/>
          <w:bCs/>
        </w:rPr>
      </w:pPr>
      <w:proofErr w:type="spellStart"/>
      <w:r w:rsidRPr="00892C3D">
        <w:rPr>
          <w:b/>
          <w:bCs/>
        </w:rPr>
        <w:t>HUDYsport</w:t>
      </w:r>
      <w:proofErr w:type="spellEnd"/>
      <w:r w:rsidRPr="00892C3D">
        <w:rPr>
          <w:b/>
          <w:bCs/>
        </w:rPr>
        <w:t xml:space="preserve"> Czech s.r.o., IČO 27329763</w:t>
      </w:r>
    </w:p>
    <w:p w14:paraId="2BD782E2" w14:textId="77777777" w:rsidR="00892C3D" w:rsidRDefault="00892C3D" w:rsidP="00892C3D">
      <w:pPr>
        <w:pStyle w:val="Odstavecseseznamem"/>
        <w:spacing w:after="0"/>
        <w:ind w:left="984"/>
      </w:pPr>
      <w:r>
        <w:t>Sídlo: Bynovec 138, 405 02 Děčín</w:t>
      </w:r>
    </w:p>
    <w:p w14:paraId="05C4F252" w14:textId="77777777" w:rsidR="00892C3D" w:rsidRDefault="00892C3D" w:rsidP="00892C3D">
      <w:pPr>
        <w:pStyle w:val="Odstavecseseznamem"/>
        <w:spacing w:after="0"/>
        <w:ind w:left="984"/>
      </w:pPr>
    </w:p>
    <w:p w14:paraId="6F90DB93" w14:textId="68F152B6" w:rsidR="00892C3D" w:rsidRDefault="00892C3D" w:rsidP="00892C3D">
      <w:pPr>
        <w:pStyle w:val="Odstavecseseznamem"/>
        <w:numPr>
          <w:ilvl w:val="0"/>
          <w:numId w:val="34"/>
        </w:numPr>
        <w:spacing w:after="0"/>
      </w:pPr>
      <w:bookmarkStart w:id="34" w:name="_Hlk44610618"/>
      <w:r>
        <w:t>výše podílu základního kapitálu 200 </w:t>
      </w:r>
      <w:r w:rsidR="00FE1CEC">
        <w:t>tis.</w:t>
      </w:r>
      <w:r>
        <w:t xml:space="preserve"> Kč, tj. 100 %</w:t>
      </w:r>
    </w:p>
    <w:bookmarkEnd w:id="34"/>
    <w:p w14:paraId="2344818D" w14:textId="6646B48A" w:rsidR="00892C3D" w:rsidRDefault="00892C3D" w:rsidP="00892C3D">
      <w:pPr>
        <w:pStyle w:val="Odstavecseseznamem"/>
        <w:numPr>
          <w:ilvl w:val="0"/>
          <w:numId w:val="34"/>
        </w:numPr>
        <w:spacing w:after="0"/>
      </w:pPr>
      <w:r>
        <w:t>výše vlastního kapitálu k 31.12.20</w:t>
      </w:r>
      <w:r w:rsidR="006556D3">
        <w:t>2</w:t>
      </w:r>
      <w:r w:rsidR="004D3875">
        <w:t>4</w:t>
      </w:r>
      <w:r w:rsidR="00FA4D67">
        <w:t xml:space="preserve">   </w:t>
      </w:r>
      <w:r w:rsidR="00CF45AF">
        <w:t xml:space="preserve"> </w:t>
      </w:r>
      <w:r w:rsidR="00B411CC">
        <w:t xml:space="preserve"> </w:t>
      </w:r>
      <w:r w:rsidR="00B411CC">
        <w:tab/>
      </w:r>
      <w:r w:rsidR="00163727">
        <w:t>14 253</w:t>
      </w:r>
      <w:r w:rsidR="00A126CA">
        <w:t xml:space="preserve"> tis. Kč </w:t>
      </w:r>
      <w:r w:rsidR="00A126CA">
        <w:tab/>
      </w:r>
    </w:p>
    <w:p w14:paraId="162ACE79" w14:textId="62F49497" w:rsidR="00892C3D" w:rsidRDefault="00892C3D" w:rsidP="00892C3D">
      <w:pPr>
        <w:pStyle w:val="Odstavecseseznamem"/>
        <w:numPr>
          <w:ilvl w:val="0"/>
          <w:numId w:val="34"/>
        </w:numPr>
        <w:spacing w:after="0"/>
      </w:pPr>
      <w:r>
        <w:t>hospodářský výsledek k 31.12.20</w:t>
      </w:r>
      <w:r w:rsidR="006556D3">
        <w:t>2</w:t>
      </w:r>
      <w:r w:rsidR="004D3875">
        <w:t>4</w:t>
      </w:r>
      <w:r w:rsidR="00A126CA">
        <w:tab/>
      </w:r>
      <w:r w:rsidR="00FA4D67">
        <w:t xml:space="preserve">    </w:t>
      </w:r>
      <w:r w:rsidR="00A126CA">
        <w:tab/>
      </w:r>
      <w:r w:rsidR="00B411CC">
        <w:t xml:space="preserve">  </w:t>
      </w:r>
      <w:r w:rsidR="00673241">
        <w:t xml:space="preserve">     </w:t>
      </w:r>
      <w:r w:rsidR="00163727">
        <w:t>360</w:t>
      </w:r>
      <w:r w:rsidR="00A126CA">
        <w:t xml:space="preserve"> tis. Kč</w:t>
      </w:r>
      <w:r w:rsidR="00A126CA">
        <w:tab/>
      </w:r>
    </w:p>
    <w:p w14:paraId="033FC00B" w14:textId="77777777" w:rsidR="00892C3D" w:rsidRDefault="00892C3D" w:rsidP="00892C3D">
      <w:pPr>
        <w:pStyle w:val="Odstavecseseznamem"/>
        <w:spacing w:after="0"/>
        <w:ind w:left="984"/>
      </w:pPr>
    </w:p>
    <w:p w14:paraId="3FB70F6F" w14:textId="77777777" w:rsidR="00892C3D" w:rsidRDefault="00892C3D" w:rsidP="00892C3D">
      <w:pPr>
        <w:pStyle w:val="Odstavecseseznamem"/>
        <w:spacing w:after="0"/>
        <w:ind w:left="984"/>
      </w:pPr>
    </w:p>
    <w:p w14:paraId="6CD7D9F5" w14:textId="77777777" w:rsidR="00892C3D" w:rsidRPr="00892C3D" w:rsidRDefault="00892C3D" w:rsidP="00892C3D">
      <w:pPr>
        <w:pStyle w:val="Odstavecseseznamem"/>
        <w:numPr>
          <w:ilvl w:val="0"/>
          <w:numId w:val="36"/>
        </w:numPr>
        <w:spacing w:after="0"/>
        <w:rPr>
          <w:b/>
          <w:bCs/>
        </w:rPr>
      </w:pPr>
      <w:proofErr w:type="spellStart"/>
      <w:r w:rsidRPr="00892C3D">
        <w:rPr>
          <w:b/>
          <w:bCs/>
        </w:rPr>
        <w:t>Shivling</w:t>
      </w:r>
      <w:proofErr w:type="spellEnd"/>
      <w:r w:rsidRPr="00892C3D">
        <w:rPr>
          <w:b/>
          <w:bCs/>
        </w:rPr>
        <w:t xml:space="preserve"> s.r.o., IČO 01849867</w:t>
      </w:r>
    </w:p>
    <w:p w14:paraId="2FD18B88" w14:textId="77777777" w:rsidR="00892C3D" w:rsidRDefault="00892C3D" w:rsidP="00F54A1E">
      <w:pPr>
        <w:pStyle w:val="Odstavecseseznamem"/>
        <w:spacing w:after="0"/>
        <w:ind w:left="984"/>
      </w:pPr>
      <w:r>
        <w:t>Sídlo: Bynovec 138, 405 02 Děčín</w:t>
      </w:r>
    </w:p>
    <w:p w14:paraId="14E2C03E" w14:textId="77777777" w:rsidR="006B18F1" w:rsidRDefault="006B18F1" w:rsidP="00892C3D">
      <w:pPr>
        <w:spacing w:after="0"/>
        <w:ind w:left="984"/>
      </w:pPr>
    </w:p>
    <w:p w14:paraId="59F5CA36" w14:textId="354B6B9D" w:rsidR="00A126CA" w:rsidRDefault="00A126CA" w:rsidP="00A126CA">
      <w:pPr>
        <w:pStyle w:val="Odstavecseseznamem"/>
        <w:numPr>
          <w:ilvl w:val="0"/>
          <w:numId w:val="34"/>
        </w:numPr>
        <w:spacing w:after="0"/>
      </w:pPr>
      <w:r>
        <w:t>výše podílu základního kapitálu 100 </w:t>
      </w:r>
      <w:r w:rsidR="00BC1B7D">
        <w:t>tis.</w:t>
      </w:r>
      <w:r>
        <w:t xml:space="preserve"> Kč, tj. 50 %</w:t>
      </w:r>
    </w:p>
    <w:p w14:paraId="455B6297" w14:textId="188CE0D8" w:rsidR="00A126CA" w:rsidRDefault="00A126CA" w:rsidP="00A126CA">
      <w:pPr>
        <w:pStyle w:val="Odstavecseseznamem"/>
        <w:numPr>
          <w:ilvl w:val="0"/>
          <w:numId w:val="34"/>
        </w:numPr>
        <w:spacing w:after="0"/>
      </w:pPr>
      <w:r>
        <w:t>výše vlastního kapitálu k 31.12.20</w:t>
      </w:r>
      <w:r w:rsidR="006556D3">
        <w:t>2</w:t>
      </w:r>
      <w:r w:rsidR="004D3875">
        <w:t>4</w:t>
      </w:r>
      <w:r w:rsidR="0095508D">
        <w:t xml:space="preserve">         </w:t>
      </w:r>
      <w:r w:rsidR="0095508D">
        <w:tab/>
      </w:r>
      <w:r w:rsidR="00163727">
        <w:t>3 624</w:t>
      </w:r>
      <w:r w:rsidR="00A40A99">
        <w:t xml:space="preserve"> tis. Kč</w:t>
      </w:r>
    </w:p>
    <w:p w14:paraId="5DE2270D" w14:textId="503F773D" w:rsidR="00A126CA" w:rsidRDefault="00A126CA" w:rsidP="00A126CA">
      <w:pPr>
        <w:pStyle w:val="Odstavecseseznamem"/>
        <w:numPr>
          <w:ilvl w:val="0"/>
          <w:numId w:val="34"/>
        </w:numPr>
        <w:spacing w:after="0"/>
      </w:pPr>
      <w:r>
        <w:t>hospodářský výsledek k 31.12.20</w:t>
      </w:r>
      <w:r w:rsidR="006556D3">
        <w:t>2</w:t>
      </w:r>
      <w:r w:rsidR="004D3875">
        <w:t>4</w:t>
      </w:r>
      <w:r w:rsidR="00A40A99">
        <w:t xml:space="preserve">          </w:t>
      </w:r>
      <w:r w:rsidR="006556D3">
        <w:t xml:space="preserve"> </w:t>
      </w:r>
      <w:r w:rsidR="0095508D">
        <w:tab/>
      </w:r>
      <w:r w:rsidR="00163727">
        <w:t>1 762</w:t>
      </w:r>
      <w:r w:rsidR="00A40A99">
        <w:t xml:space="preserve"> tis. Kč</w:t>
      </w:r>
    </w:p>
    <w:p w14:paraId="69CF8DD8" w14:textId="77777777" w:rsidR="00892C3D" w:rsidRDefault="00892C3D" w:rsidP="00355106">
      <w:pPr>
        <w:spacing w:after="0"/>
      </w:pPr>
    </w:p>
    <w:p w14:paraId="2909C02C" w14:textId="77777777" w:rsidR="00355106" w:rsidRDefault="00355106" w:rsidP="00355106">
      <w:pPr>
        <w:spacing w:after="0"/>
      </w:pPr>
    </w:p>
    <w:p w14:paraId="5A8174C1" w14:textId="77777777" w:rsidR="006B18F1" w:rsidRDefault="00892C3D" w:rsidP="00892C3D">
      <w:pPr>
        <w:pStyle w:val="Odstavecseseznamem"/>
        <w:numPr>
          <w:ilvl w:val="0"/>
          <w:numId w:val="36"/>
        </w:numPr>
        <w:spacing w:after="0"/>
        <w:rPr>
          <w:b/>
          <w:bCs/>
        </w:rPr>
      </w:pPr>
      <w:r w:rsidRPr="00892C3D">
        <w:rPr>
          <w:b/>
          <w:bCs/>
        </w:rPr>
        <w:t>Diana Děčín s.r.o., IČO 25459422</w:t>
      </w:r>
    </w:p>
    <w:p w14:paraId="3368EF6C" w14:textId="77777777" w:rsidR="00892C3D" w:rsidRDefault="00A126CA" w:rsidP="00A126CA">
      <w:pPr>
        <w:pStyle w:val="Odstavecseseznamem"/>
        <w:ind w:left="984"/>
      </w:pPr>
      <w:r>
        <w:t>s</w:t>
      </w:r>
      <w:r w:rsidRPr="00A126CA">
        <w:t>ídlo: Ústecká 1918/95, 405 02 Děčín</w:t>
      </w:r>
    </w:p>
    <w:p w14:paraId="5BB5DDDF" w14:textId="550C3218" w:rsidR="00A126CA" w:rsidRDefault="00A126CA" w:rsidP="00A126CA">
      <w:pPr>
        <w:pStyle w:val="Odstavecseseznamem"/>
        <w:numPr>
          <w:ilvl w:val="0"/>
          <w:numId w:val="34"/>
        </w:numPr>
        <w:spacing w:after="0"/>
      </w:pPr>
      <w:r>
        <w:t>výše podílu základního kapitálu 200 </w:t>
      </w:r>
      <w:r w:rsidR="00BC1B7D">
        <w:t>tis.</w:t>
      </w:r>
      <w:r>
        <w:t xml:space="preserve"> Kč, tj. 100 %</w:t>
      </w:r>
    </w:p>
    <w:p w14:paraId="6B0D9378" w14:textId="12B7CCA6" w:rsidR="00A40A99" w:rsidRDefault="00A126CA" w:rsidP="00A65BE4">
      <w:pPr>
        <w:pStyle w:val="Odstavecseseznamem"/>
        <w:numPr>
          <w:ilvl w:val="0"/>
          <w:numId w:val="34"/>
        </w:numPr>
        <w:spacing w:after="0"/>
      </w:pPr>
      <w:r>
        <w:t>výše vlastního kapitálu k 31.12.20</w:t>
      </w:r>
      <w:r w:rsidR="006556D3">
        <w:t>2</w:t>
      </w:r>
      <w:r w:rsidR="00163727">
        <w:t>4</w:t>
      </w:r>
      <w:r w:rsidR="00A40A99">
        <w:tab/>
      </w:r>
      <w:r w:rsidR="00527186">
        <w:tab/>
      </w:r>
      <w:r w:rsidR="00163727">
        <w:t>4 751</w:t>
      </w:r>
      <w:r w:rsidR="00A40A99">
        <w:t xml:space="preserve"> tis. Kč</w:t>
      </w:r>
    </w:p>
    <w:p w14:paraId="4B79E4EA" w14:textId="0B41C109" w:rsidR="00A126CA" w:rsidRDefault="00A126CA" w:rsidP="00355106">
      <w:pPr>
        <w:pStyle w:val="Odstavecseseznamem"/>
        <w:numPr>
          <w:ilvl w:val="0"/>
          <w:numId w:val="34"/>
        </w:numPr>
        <w:spacing w:after="0"/>
      </w:pPr>
      <w:r>
        <w:t>hospodářský výsledek k 31.12.20</w:t>
      </w:r>
      <w:r w:rsidR="006556D3">
        <w:t>2</w:t>
      </w:r>
      <w:r w:rsidR="00163727">
        <w:t>4</w:t>
      </w:r>
      <w:r w:rsidR="00A40A99">
        <w:tab/>
      </w:r>
      <w:r w:rsidR="00A65BE4">
        <w:tab/>
      </w:r>
      <w:r w:rsidR="00163727">
        <w:t>2 218</w:t>
      </w:r>
      <w:r w:rsidR="00A40A99">
        <w:t xml:space="preserve"> tis. K</w:t>
      </w:r>
      <w:r w:rsidR="006556D3">
        <w:t>č</w:t>
      </w:r>
    </w:p>
    <w:p w14:paraId="5651F615" w14:textId="77777777" w:rsidR="009A13E2" w:rsidRPr="00A126CA" w:rsidRDefault="009A13E2" w:rsidP="00355106">
      <w:pPr>
        <w:pStyle w:val="Odstavecseseznamem"/>
        <w:numPr>
          <w:ilvl w:val="0"/>
          <w:numId w:val="34"/>
        </w:numPr>
        <w:spacing w:after="0"/>
      </w:pPr>
    </w:p>
    <w:p w14:paraId="1E4FAFF1" w14:textId="77777777" w:rsidR="00892C3D" w:rsidRDefault="00892C3D" w:rsidP="00892C3D">
      <w:pPr>
        <w:pStyle w:val="Odstavecseseznamem"/>
        <w:numPr>
          <w:ilvl w:val="0"/>
          <w:numId w:val="36"/>
        </w:numPr>
        <w:spacing w:after="0"/>
        <w:rPr>
          <w:b/>
          <w:bCs/>
        </w:rPr>
      </w:pPr>
      <w:r>
        <w:rPr>
          <w:b/>
          <w:bCs/>
        </w:rPr>
        <w:t>HUSULI s.r.o., IČO 03458202</w:t>
      </w:r>
    </w:p>
    <w:p w14:paraId="721D6D3D" w14:textId="77777777" w:rsidR="00A126CA" w:rsidRDefault="00A126CA" w:rsidP="00A126CA">
      <w:pPr>
        <w:pStyle w:val="Odstavecseseznamem"/>
        <w:spacing w:after="0"/>
        <w:ind w:left="984"/>
      </w:pPr>
      <w:r>
        <w:t>sídlo: Bynovec 138, 405 02 Děčín</w:t>
      </w:r>
    </w:p>
    <w:p w14:paraId="0DA39C0C" w14:textId="77777777" w:rsidR="00163727" w:rsidRDefault="00163727" w:rsidP="00A126CA">
      <w:pPr>
        <w:pStyle w:val="Odstavecseseznamem"/>
        <w:spacing w:after="0"/>
        <w:ind w:left="984"/>
      </w:pPr>
    </w:p>
    <w:p w14:paraId="61CF21FF" w14:textId="15AF6AD3" w:rsidR="00A126CA" w:rsidRDefault="00A126CA" w:rsidP="00163727">
      <w:pPr>
        <w:pStyle w:val="Odstavecseseznamem"/>
        <w:numPr>
          <w:ilvl w:val="0"/>
          <w:numId w:val="34"/>
        </w:numPr>
        <w:spacing w:after="0"/>
      </w:pPr>
      <w:r>
        <w:t>výše podílu základního kapitálu 1 </w:t>
      </w:r>
      <w:r w:rsidR="00BC1B7D">
        <w:t>tis.</w:t>
      </w:r>
      <w:r>
        <w:t xml:space="preserve"> Kč, tj. 100 %</w:t>
      </w:r>
    </w:p>
    <w:p w14:paraId="67828D8F" w14:textId="4B649277" w:rsidR="00A126CA" w:rsidRDefault="00A126CA" w:rsidP="00163727">
      <w:pPr>
        <w:pStyle w:val="Odstavecseseznamem"/>
        <w:numPr>
          <w:ilvl w:val="0"/>
          <w:numId w:val="34"/>
        </w:numPr>
        <w:spacing w:after="0"/>
      </w:pPr>
      <w:r>
        <w:t>výše vlastního kapitálu k 31.12.20</w:t>
      </w:r>
      <w:r w:rsidR="00527186">
        <w:t>2</w:t>
      </w:r>
      <w:r w:rsidR="00163727">
        <w:t>4</w:t>
      </w:r>
      <w:r w:rsidR="00A40A99">
        <w:tab/>
      </w:r>
      <w:r w:rsidR="00F54A1E">
        <w:tab/>
      </w:r>
      <w:r w:rsidR="00527186">
        <w:t xml:space="preserve"> - </w:t>
      </w:r>
      <w:r w:rsidR="00163727">
        <w:t>1 596</w:t>
      </w:r>
      <w:r w:rsidR="00EC566F">
        <w:t xml:space="preserve"> </w:t>
      </w:r>
      <w:r w:rsidR="00F54A1E">
        <w:t>tis. Kč</w:t>
      </w:r>
      <w:r w:rsidR="00F54A1E">
        <w:tab/>
      </w:r>
      <w:r w:rsidR="00F54A1E">
        <w:tab/>
      </w:r>
      <w:r w:rsidR="00A40A99">
        <w:tab/>
      </w:r>
    </w:p>
    <w:p w14:paraId="167D9313" w14:textId="64234B5F" w:rsidR="00A126CA" w:rsidRDefault="00A126CA" w:rsidP="00A126CA">
      <w:pPr>
        <w:pStyle w:val="Odstavecseseznamem"/>
        <w:numPr>
          <w:ilvl w:val="0"/>
          <w:numId w:val="34"/>
        </w:numPr>
        <w:spacing w:after="0"/>
      </w:pPr>
      <w:r>
        <w:t>hospodářský výsledek k 31.12.20</w:t>
      </w:r>
      <w:r w:rsidR="00527186">
        <w:t>2</w:t>
      </w:r>
      <w:r w:rsidR="00163727">
        <w:t>4</w:t>
      </w:r>
      <w:r w:rsidR="00F54A1E">
        <w:tab/>
      </w:r>
      <w:r w:rsidR="00F54A1E">
        <w:tab/>
      </w:r>
      <w:r w:rsidR="00EC566F">
        <w:t xml:space="preserve">     </w:t>
      </w:r>
      <w:r w:rsidR="00F54A1E">
        <w:t xml:space="preserve"> </w:t>
      </w:r>
      <w:r w:rsidR="00163727">
        <w:t xml:space="preserve"> 608 </w:t>
      </w:r>
      <w:r w:rsidR="00F54A1E">
        <w:t>tis. Kč</w:t>
      </w:r>
    </w:p>
    <w:p w14:paraId="6A7FF77F" w14:textId="77777777" w:rsidR="00892C3D" w:rsidRPr="00892C3D" w:rsidRDefault="00892C3D" w:rsidP="00892C3D">
      <w:pPr>
        <w:pStyle w:val="Odstavecseseznamem"/>
        <w:rPr>
          <w:b/>
          <w:bCs/>
        </w:rPr>
      </w:pPr>
    </w:p>
    <w:p w14:paraId="4A46BACC" w14:textId="1643C98F" w:rsidR="00892C3D" w:rsidRDefault="008E2689" w:rsidP="00892C3D">
      <w:pPr>
        <w:pStyle w:val="Odstavecseseznamem"/>
        <w:numPr>
          <w:ilvl w:val="0"/>
          <w:numId w:val="36"/>
        </w:numPr>
        <w:spacing w:after="0"/>
        <w:rPr>
          <w:b/>
          <w:bCs/>
        </w:rPr>
      </w:pPr>
      <w:proofErr w:type="spellStart"/>
      <w:r>
        <w:rPr>
          <w:b/>
          <w:bCs/>
        </w:rPr>
        <w:lastRenderedPageBreak/>
        <w:t>HUDYsport</w:t>
      </w:r>
      <w:proofErr w:type="spellEnd"/>
      <w:r>
        <w:rPr>
          <w:b/>
          <w:bCs/>
        </w:rPr>
        <w:t xml:space="preserve"> Moravia s.r.o.</w:t>
      </w:r>
      <w:r w:rsidR="00892C3D">
        <w:rPr>
          <w:b/>
          <w:bCs/>
        </w:rPr>
        <w:t>, IČO 06250491</w:t>
      </w:r>
    </w:p>
    <w:p w14:paraId="16790106" w14:textId="77777777" w:rsidR="00A126CA" w:rsidRDefault="00A126CA" w:rsidP="00A126CA">
      <w:pPr>
        <w:pStyle w:val="Odstavecseseznamem"/>
        <w:spacing w:after="0"/>
        <w:ind w:left="984"/>
      </w:pPr>
      <w:r>
        <w:rPr>
          <w:b/>
          <w:bCs/>
        </w:rPr>
        <w:t>s</w:t>
      </w:r>
      <w:r>
        <w:t>ídlo: Bynovec 138, 405 02 Děčín</w:t>
      </w:r>
    </w:p>
    <w:p w14:paraId="3B28FFA6" w14:textId="77777777" w:rsidR="00A126CA" w:rsidRDefault="00A126CA" w:rsidP="00A126CA">
      <w:pPr>
        <w:pStyle w:val="Odstavecseseznamem"/>
        <w:spacing w:after="0"/>
        <w:ind w:left="984"/>
      </w:pPr>
    </w:p>
    <w:p w14:paraId="2EE44D2F" w14:textId="702D402C" w:rsidR="00A126CA" w:rsidRDefault="00A126CA" w:rsidP="00A126CA">
      <w:pPr>
        <w:pStyle w:val="Odstavecseseznamem"/>
        <w:numPr>
          <w:ilvl w:val="0"/>
          <w:numId w:val="34"/>
        </w:numPr>
        <w:spacing w:after="0"/>
      </w:pPr>
      <w:r>
        <w:t>výše podílu základního kapitálu 100 </w:t>
      </w:r>
      <w:r w:rsidR="00BC1B7D">
        <w:t>tis.</w:t>
      </w:r>
      <w:r>
        <w:t xml:space="preserve"> Kč, tj. 100 %</w:t>
      </w:r>
    </w:p>
    <w:p w14:paraId="0771E1AA" w14:textId="66FCEAA0" w:rsidR="00A126CA" w:rsidRDefault="00A126CA" w:rsidP="00A126CA">
      <w:pPr>
        <w:pStyle w:val="Odstavecseseznamem"/>
        <w:numPr>
          <w:ilvl w:val="0"/>
          <w:numId w:val="34"/>
        </w:numPr>
        <w:spacing w:after="0"/>
      </w:pPr>
      <w:r>
        <w:t>výše vlastního kapitálu k 31.12.20</w:t>
      </w:r>
      <w:r w:rsidR="00527186">
        <w:t>2</w:t>
      </w:r>
      <w:r w:rsidR="00940292">
        <w:t>4</w:t>
      </w:r>
      <w:r w:rsidR="00A40A99">
        <w:tab/>
      </w:r>
      <w:r w:rsidR="00A40A99">
        <w:tab/>
      </w:r>
      <w:r w:rsidR="009A13E2">
        <w:t xml:space="preserve"> </w:t>
      </w:r>
      <w:r w:rsidR="00163727">
        <w:t>2 005</w:t>
      </w:r>
      <w:r w:rsidR="00A40A99">
        <w:t xml:space="preserve"> tis. Kč</w:t>
      </w:r>
      <w:r w:rsidR="00A40A99">
        <w:tab/>
      </w:r>
    </w:p>
    <w:p w14:paraId="36EAE537" w14:textId="1D73314A" w:rsidR="00A126CA" w:rsidRDefault="00A126CA" w:rsidP="00A126CA">
      <w:pPr>
        <w:pStyle w:val="Odstavecseseznamem"/>
        <w:numPr>
          <w:ilvl w:val="0"/>
          <w:numId w:val="34"/>
        </w:numPr>
        <w:spacing w:after="0"/>
      </w:pPr>
      <w:r>
        <w:t>hospodářský výsledek k 31.12.20</w:t>
      </w:r>
      <w:r w:rsidR="00527186">
        <w:t>2</w:t>
      </w:r>
      <w:r w:rsidR="00940292">
        <w:t>4</w:t>
      </w:r>
      <w:r w:rsidR="00A40A99">
        <w:tab/>
      </w:r>
      <w:r w:rsidR="009A13E2">
        <w:tab/>
        <w:t xml:space="preserve"> </w:t>
      </w:r>
      <w:r w:rsidR="00163727">
        <w:t xml:space="preserve">1 072 </w:t>
      </w:r>
      <w:r w:rsidR="00A40A99">
        <w:t>tis. Kč</w:t>
      </w:r>
    </w:p>
    <w:p w14:paraId="6C683A22" w14:textId="77777777" w:rsidR="00A126CA" w:rsidRDefault="00A126CA" w:rsidP="00A126CA">
      <w:pPr>
        <w:pStyle w:val="Odstavecseseznamem"/>
        <w:spacing w:after="0"/>
        <w:ind w:left="984"/>
      </w:pPr>
    </w:p>
    <w:p w14:paraId="230EBF43" w14:textId="77777777" w:rsidR="00FA4D67" w:rsidRDefault="00FA4D67" w:rsidP="00A126CA">
      <w:pPr>
        <w:pStyle w:val="Odstavecseseznamem"/>
        <w:spacing w:after="0"/>
        <w:ind w:left="984"/>
      </w:pPr>
    </w:p>
    <w:p w14:paraId="3ECE6FAF" w14:textId="0F0B694E" w:rsidR="00FA4D67" w:rsidRDefault="00FA4D67" w:rsidP="00FA4D67">
      <w:pPr>
        <w:pStyle w:val="Odstavecseseznamem"/>
        <w:numPr>
          <w:ilvl w:val="0"/>
          <w:numId w:val="36"/>
        </w:numPr>
        <w:spacing w:after="0"/>
        <w:rPr>
          <w:b/>
          <w:bCs/>
        </w:rPr>
      </w:pPr>
      <w:proofErr w:type="spellStart"/>
      <w:r w:rsidRPr="00FA4D67">
        <w:rPr>
          <w:b/>
          <w:bCs/>
        </w:rPr>
        <w:t>Boulder</w:t>
      </w:r>
      <w:proofErr w:type="spellEnd"/>
      <w:r w:rsidRPr="00FA4D67">
        <w:rPr>
          <w:b/>
          <w:bCs/>
        </w:rPr>
        <w:t xml:space="preserve"> Area s.r.o., IČO 09443282</w:t>
      </w:r>
    </w:p>
    <w:p w14:paraId="2722CEFE" w14:textId="36264E09" w:rsidR="00FA4D67" w:rsidRPr="00FA4D67" w:rsidRDefault="00FA4D67" w:rsidP="00FA4D67">
      <w:pPr>
        <w:pStyle w:val="Odstavecseseznamem"/>
        <w:spacing w:after="0"/>
        <w:ind w:left="984"/>
      </w:pPr>
      <w:r w:rsidRPr="00FA4D67">
        <w:t>Sídlo</w:t>
      </w:r>
      <w:r>
        <w:t>: Křižíkova 684/91</w:t>
      </w:r>
      <w:r w:rsidR="00356AEF">
        <w:t xml:space="preserve"> </w:t>
      </w:r>
      <w:r>
        <w:t>a, 186 00 Praha 8</w:t>
      </w:r>
    </w:p>
    <w:p w14:paraId="4AF866E8" w14:textId="77777777" w:rsidR="00FA4D67" w:rsidRPr="00FA4D67" w:rsidRDefault="00FA4D67" w:rsidP="00A126CA">
      <w:pPr>
        <w:pStyle w:val="Odstavecseseznamem"/>
        <w:spacing w:after="0"/>
        <w:ind w:left="984"/>
        <w:rPr>
          <w:b/>
          <w:bCs/>
        </w:rPr>
      </w:pPr>
    </w:p>
    <w:p w14:paraId="6C7CA471" w14:textId="2C97F149" w:rsidR="00FA4D67" w:rsidRDefault="00FA4D67" w:rsidP="00FA4D67">
      <w:pPr>
        <w:pStyle w:val="Odstavecseseznamem"/>
        <w:numPr>
          <w:ilvl w:val="0"/>
          <w:numId w:val="34"/>
        </w:numPr>
        <w:spacing w:after="0"/>
      </w:pPr>
      <w:r>
        <w:t>výše podílu základního kapitálu 500 Kč, tj. 50 %</w:t>
      </w:r>
    </w:p>
    <w:p w14:paraId="04BD63B6" w14:textId="35424B9F" w:rsidR="00FA4D67" w:rsidRDefault="00FA4D67" w:rsidP="00FA4D67">
      <w:pPr>
        <w:pStyle w:val="Odstavecseseznamem"/>
        <w:numPr>
          <w:ilvl w:val="0"/>
          <w:numId w:val="34"/>
        </w:numPr>
        <w:spacing w:after="0"/>
      </w:pPr>
      <w:r>
        <w:t>výše vlastního kapitálu k 31.12.202</w:t>
      </w:r>
      <w:r w:rsidR="00940292">
        <w:t>4</w:t>
      </w:r>
      <w:r>
        <w:tab/>
      </w:r>
      <w:proofErr w:type="gramStart"/>
      <w:r>
        <w:tab/>
      </w:r>
      <w:r w:rsidR="00C40EA4">
        <w:t xml:space="preserve">  </w:t>
      </w:r>
      <w:r w:rsidR="00940292">
        <w:t>3</w:t>
      </w:r>
      <w:proofErr w:type="gramEnd"/>
      <w:r w:rsidR="00940292">
        <w:t xml:space="preserve"> 939</w:t>
      </w:r>
      <w:r w:rsidR="00C40EA4">
        <w:t xml:space="preserve"> </w:t>
      </w:r>
      <w:r>
        <w:t>tis. Kč</w:t>
      </w:r>
      <w:r>
        <w:tab/>
      </w:r>
    </w:p>
    <w:p w14:paraId="70A6FCE1" w14:textId="1C7770D3" w:rsidR="00FA4D67" w:rsidRDefault="00FA4D67" w:rsidP="00FA4D67">
      <w:pPr>
        <w:pStyle w:val="Odstavecseseznamem"/>
        <w:numPr>
          <w:ilvl w:val="0"/>
          <w:numId w:val="34"/>
        </w:numPr>
        <w:spacing w:after="0"/>
      </w:pPr>
      <w:r>
        <w:t>hospodářský výsledek k 31.12.202</w:t>
      </w:r>
      <w:r w:rsidR="00940292">
        <w:t>4</w:t>
      </w:r>
      <w:r>
        <w:tab/>
      </w:r>
      <w:proofErr w:type="gramStart"/>
      <w:r>
        <w:tab/>
      </w:r>
      <w:r w:rsidR="00356AEF">
        <w:t xml:space="preserve">  </w:t>
      </w:r>
      <w:r w:rsidR="00940292">
        <w:t>3</w:t>
      </w:r>
      <w:proofErr w:type="gramEnd"/>
      <w:r w:rsidR="00940292">
        <w:t xml:space="preserve"> 981</w:t>
      </w:r>
      <w:r>
        <w:t xml:space="preserve"> tis. Kč</w:t>
      </w:r>
    </w:p>
    <w:p w14:paraId="786E8F2B" w14:textId="77777777" w:rsidR="00356AEF" w:rsidRDefault="00356AEF" w:rsidP="00356AEF">
      <w:pPr>
        <w:pStyle w:val="Odstavecseseznamem"/>
        <w:spacing w:after="0"/>
        <w:ind w:left="984"/>
      </w:pPr>
    </w:p>
    <w:p w14:paraId="35D61134" w14:textId="3D65B252" w:rsidR="00356AEF" w:rsidRDefault="00356AEF" w:rsidP="00356AEF">
      <w:pPr>
        <w:pStyle w:val="Odstavecseseznamem"/>
        <w:numPr>
          <w:ilvl w:val="0"/>
          <w:numId w:val="36"/>
        </w:numPr>
        <w:spacing w:after="0"/>
        <w:rPr>
          <w:b/>
          <w:bCs/>
        </w:rPr>
      </w:pPr>
      <w:r w:rsidRPr="00356AEF">
        <w:rPr>
          <w:b/>
          <w:bCs/>
        </w:rPr>
        <w:t>64 s.r.o., IČO 54586321</w:t>
      </w:r>
    </w:p>
    <w:p w14:paraId="336F43E2" w14:textId="5C5B6169" w:rsidR="00356AEF" w:rsidRPr="00356AEF" w:rsidRDefault="00356AEF" w:rsidP="00356AEF">
      <w:pPr>
        <w:pStyle w:val="Odstavecseseznamem"/>
        <w:spacing w:after="0"/>
        <w:ind w:left="984"/>
      </w:pPr>
      <w:r w:rsidRPr="00356AEF">
        <w:t>Sídlo:</w:t>
      </w:r>
      <w:r>
        <w:t xml:space="preserve"> </w:t>
      </w:r>
      <w:proofErr w:type="spellStart"/>
      <w:r>
        <w:t>Soblahovská</w:t>
      </w:r>
      <w:proofErr w:type="spellEnd"/>
      <w:r>
        <w:t xml:space="preserve"> 3161, 911 01 Trenčín, Slovensko</w:t>
      </w:r>
    </w:p>
    <w:p w14:paraId="46650388" w14:textId="77777777" w:rsidR="00356AEF" w:rsidRDefault="00356AEF" w:rsidP="00356AEF">
      <w:pPr>
        <w:pStyle w:val="Odstavecseseznamem"/>
        <w:spacing w:after="0"/>
        <w:ind w:left="984"/>
      </w:pPr>
    </w:p>
    <w:p w14:paraId="586C3DF9" w14:textId="73BEF8DE" w:rsidR="00355106" w:rsidRDefault="00355106" w:rsidP="00355106">
      <w:pPr>
        <w:pStyle w:val="Odstavecseseznamem"/>
        <w:numPr>
          <w:ilvl w:val="0"/>
          <w:numId w:val="34"/>
        </w:numPr>
        <w:spacing w:after="0"/>
      </w:pPr>
      <w:r>
        <w:t>výše podílu základního kapitálu 5 tis. EUR, tj. 100 %, v přepočtu 12</w:t>
      </w:r>
      <w:r w:rsidR="00163727">
        <w:t>9</w:t>
      </w:r>
      <w:r>
        <w:t xml:space="preserve"> tis. Kč</w:t>
      </w:r>
    </w:p>
    <w:p w14:paraId="4B92553E" w14:textId="26F0D09A" w:rsidR="00355106" w:rsidRDefault="00355106" w:rsidP="00355106">
      <w:pPr>
        <w:pStyle w:val="Odstavecseseznamem"/>
        <w:numPr>
          <w:ilvl w:val="0"/>
          <w:numId w:val="34"/>
        </w:numPr>
        <w:spacing w:after="0"/>
      </w:pPr>
      <w:r>
        <w:t>výše vlastního kapitálu k 31.12.202</w:t>
      </w:r>
      <w:r w:rsidR="00940292">
        <w:t>4</w:t>
      </w:r>
      <w:r>
        <w:tab/>
      </w:r>
      <w:r w:rsidR="00163727">
        <w:t xml:space="preserve">                   42 tis.</w:t>
      </w:r>
      <w:r>
        <w:t xml:space="preserve"> EUR, tj. </w:t>
      </w:r>
      <w:r w:rsidR="009A13E2">
        <w:t xml:space="preserve">1 </w:t>
      </w:r>
      <w:r w:rsidR="00163727">
        <w:t>063</w:t>
      </w:r>
      <w:r>
        <w:t xml:space="preserve"> tis. Kč</w:t>
      </w:r>
      <w:r>
        <w:tab/>
      </w:r>
    </w:p>
    <w:p w14:paraId="47DD18EB" w14:textId="5415B2B9" w:rsidR="00355106" w:rsidRDefault="00355106" w:rsidP="00355106">
      <w:pPr>
        <w:pStyle w:val="Odstavecseseznamem"/>
        <w:numPr>
          <w:ilvl w:val="0"/>
          <w:numId w:val="34"/>
        </w:numPr>
        <w:spacing w:after="0"/>
      </w:pPr>
      <w:r>
        <w:t>hospodářský výsledek k 31.12.202</w:t>
      </w:r>
      <w:r w:rsidR="00940292">
        <w:t>4</w:t>
      </w:r>
      <w:r>
        <w:tab/>
      </w:r>
      <w:r>
        <w:tab/>
      </w:r>
      <w:r w:rsidR="00163727">
        <w:t xml:space="preserve">  </w:t>
      </w:r>
      <w:r>
        <w:t xml:space="preserve"> </w:t>
      </w:r>
      <w:r w:rsidR="00163727">
        <w:t>-13 tis.</w:t>
      </w:r>
      <w:r>
        <w:t xml:space="preserve"> EUR, tj. </w:t>
      </w:r>
      <w:r w:rsidR="00163727">
        <w:t>- 336</w:t>
      </w:r>
      <w:r>
        <w:t xml:space="preserve"> tis. Kč</w:t>
      </w:r>
    </w:p>
    <w:p w14:paraId="7999C014" w14:textId="77777777" w:rsidR="006E04A0" w:rsidRDefault="006E04A0" w:rsidP="006E04A0">
      <w:pPr>
        <w:spacing w:after="0"/>
      </w:pPr>
    </w:p>
    <w:p w14:paraId="2A69A57B" w14:textId="10915790" w:rsidR="006E04A0" w:rsidRPr="006E04A0" w:rsidRDefault="006E04A0" w:rsidP="006E04A0">
      <w:pPr>
        <w:pStyle w:val="Odstavecseseznamem"/>
        <w:numPr>
          <w:ilvl w:val="0"/>
          <w:numId w:val="36"/>
        </w:numPr>
        <w:spacing w:after="0"/>
        <w:rPr>
          <w:b/>
          <w:bCs/>
        </w:rPr>
      </w:pPr>
      <w:r w:rsidRPr="006E04A0">
        <w:rPr>
          <w:b/>
          <w:bCs/>
        </w:rPr>
        <w:t>HUPP SPORT s.r.o., IČO: 09377808</w:t>
      </w:r>
    </w:p>
    <w:p w14:paraId="6A021215" w14:textId="10CBE323" w:rsidR="00FA4D67" w:rsidRDefault="006E04A0" w:rsidP="00A126CA">
      <w:pPr>
        <w:pStyle w:val="Odstavecseseznamem"/>
        <w:spacing w:after="0"/>
        <w:ind w:left="984"/>
      </w:pPr>
      <w:r>
        <w:t>Sídlo: Bynovec 138, 405 02 Děčín, Prodejna: Americká 1199/72, 301 00 Plzeň</w:t>
      </w:r>
    </w:p>
    <w:p w14:paraId="2457263B" w14:textId="77777777" w:rsidR="009A13E2" w:rsidRDefault="009A13E2" w:rsidP="00A126CA">
      <w:pPr>
        <w:pStyle w:val="Odstavecseseznamem"/>
        <w:spacing w:after="0"/>
        <w:ind w:left="984"/>
      </w:pPr>
    </w:p>
    <w:p w14:paraId="4AF00C8F" w14:textId="63C07C57" w:rsidR="006E04A0" w:rsidRDefault="009B6FA6" w:rsidP="003458EE">
      <w:pPr>
        <w:pStyle w:val="Odstavecseseznamem"/>
        <w:numPr>
          <w:ilvl w:val="0"/>
          <w:numId w:val="35"/>
        </w:numPr>
        <w:spacing w:after="0"/>
      </w:pPr>
      <w:r>
        <w:t>výše podílu základního kapitálu 10 000,- Kč, tj. 100%</w:t>
      </w:r>
    </w:p>
    <w:p w14:paraId="430FCB98" w14:textId="58276EFA" w:rsidR="009B6FA6" w:rsidRDefault="009B6FA6" w:rsidP="003458EE">
      <w:pPr>
        <w:pStyle w:val="Odstavecseseznamem"/>
        <w:numPr>
          <w:ilvl w:val="0"/>
          <w:numId w:val="35"/>
        </w:numPr>
        <w:spacing w:after="0"/>
      </w:pPr>
      <w:r>
        <w:t>výše vlastního kapitálu k 31.12.202</w:t>
      </w:r>
      <w:r w:rsidR="00940292">
        <w:t>4</w:t>
      </w:r>
      <w:r w:rsidR="00C40EA4">
        <w:tab/>
      </w:r>
      <w:r w:rsidR="00C40EA4">
        <w:tab/>
      </w:r>
      <w:r w:rsidR="00163727">
        <w:t>1 411</w:t>
      </w:r>
      <w:r w:rsidR="00C40EA4">
        <w:t xml:space="preserve"> tis. Kč</w:t>
      </w:r>
      <w:r w:rsidR="00C40EA4">
        <w:tab/>
      </w:r>
    </w:p>
    <w:p w14:paraId="2D07A44C" w14:textId="5984128C" w:rsidR="009B6FA6" w:rsidRDefault="009B6FA6" w:rsidP="003458EE">
      <w:pPr>
        <w:pStyle w:val="Odstavecseseznamem"/>
        <w:numPr>
          <w:ilvl w:val="0"/>
          <w:numId w:val="35"/>
        </w:numPr>
        <w:spacing w:after="0"/>
      </w:pPr>
      <w:r>
        <w:t>hospodářský výsledek k 31.12.202</w:t>
      </w:r>
      <w:r w:rsidR="00940292">
        <w:t>4</w:t>
      </w:r>
      <w:r>
        <w:tab/>
      </w:r>
      <w:r>
        <w:tab/>
      </w:r>
      <w:r w:rsidR="00BA2DE4">
        <w:t xml:space="preserve">   441</w:t>
      </w:r>
      <w:r w:rsidR="00C40EA4">
        <w:t xml:space="preserve"> tis. Kč</w:t>
      </w:r>
    </w:p>
    <w:p w14:paraId="723DB155" w14:textId="61D48B63" w:rsidR="00892C3D" w:rsidRPr="00AE7248" w:rsidRDefault="003458EE" w:rsidP="00AE7248">
      <w:pPr>
        <w:spacing w:after="0"/>
        <w:rPr>
          <w:b/>
          <w:bCs/>
        </w:rPr>
      </w:pPr>
      <w:r>
        <w:rPr>
          <w:b/>
          <w:bCs/>
        </w:rPr>
        <w:tab/>
      </w:r>
    </w:p>
    <w:p w14:paraId="43C90FC7" w14:textId="77777777" w:rsidR="006B18F1" w:rsidRDefault="00691129">
      <w:pPr>
        <w:pStyle w:val="Nadpis2"/>
      </w:pPr>
      <w:r>
        <w:t>Účetní jednotka, která sestavuje konsolidovanou účetní závěrku nejužší skupiny účetních jednotek</w:t>
      </w:r>
    </w:p>
    <w:p w14:paraId="136F0F8D" w14:textId="77777777" w:rsidR="006B18F1" w:rsidRDefault="006B18F1">
      <w:pPr>
        <w:spacing w:after="0"/>
      </w:pPr>
    </w:p>
    <w:p w14:paraId="26B447ED" w14:textId="2E6C18F1" w:rsidR="006B18F1" w:rsidRDefault="00F54A1E" w:rsidP="00F54A1E">
      <w:pPr>
        <w:spacing w:after="0"/>
        <w:ind w:left="360"/>
      </w:pPr>
      <w:r>
        <w:t xml:space="preserve">Konsolidovanou účetní závěrku sestavuje mateřská firma </w:t>
      </w:r>
      <w:proofErr w:type="spellStart"/>
      <w:r>
        <w:t>HUDYsport</w:t>
      </w:r>
      <w:proofErr w:type="spellEnd"/>
      <w:r>
        <w:t xml:space="preserve"> a.s. V konsolidovaném celku je </w:t>
      </w:r>
      <w:r w:rsidR="00535F65">
        <w:t>osm</w:t>
      </w:r>
      <w:r>
        <w:t xml:space="preserve"> výše uvedených dceřiných společností, kde mateřský podnik uplatňuje rozhodující vliv. Konsolidační účetní závěrka je sestavována samostatně za celou konsolidační skupinu a řídí </w:t>
      </w:r>
      <w:proofErr w:type="gramStart"/>
      <w:r>
        <w:t>se  „</w:t>
      </w:r>
      <w:proofErr w:type="gramEnd"/>
      <w:r>
        <w:t>Konsolidačními pravidly“ zpracovanými pro rok 20</w:t>
      </w:r>
      <w:r w:rsidR="00527186">
        <w:t>2</w:t>
      </w:r>
      <w:r w:rsidR="00BA2DE4">
        <w:t>4</w:t>
      </w:r>
      <w:r>
        <w:t>, kde jsou stanovené metodické postupy pro vymezení konsolidačního celku. V konsolidované účetní závěrce jsou vzájemně vyloučeny vztahy podle konsolidačních pravidel.</w:t>
      </w:r>
    </w:p>
    <w:p w14:paraId="6D380F4F" w14:textId="77777777" w:rsidR="00F54A1E" w:rsidRDefault="00F54A1E" w:rsidP="00F54A1E">
      <w:pPr>
        <w:spacing w:after="0"/>
        <w:ind w:left="360"/>
      </w:pPr>
      <w:r>
        <w:t xml:space="preserve">Konsolidovaná účetní závěrka je uložena v sídle firmy </w:t>
      </w:r>
      <w:proofErr w:type="spellStart"/>
      <w:r>
        <w:t>HUDYsport</w:t>
      </w:r>
      <w:proofErr w:type="spellEnd"/>
      <w:r>
        <w:t xml:space="preserve"> a.s., kde bude možné do ní nahlédnout.</w:t>
      </w:r>
    </w:p>
    <w:p w14:paraId="713D3F92" w14:textId="77777777" w:rsidR="00535F65" w:rsidRDefault="00535F65" w:rsidP="00F54A1E">
      <w:pPr>
        <w:spacing w:after="0"/>
        <w:ind w:left="360"/>
      </w:pPr>
    </w:p>
    <w:p w14:paraId="3502549F" w14:textId="77777777" w:rsidR="00535F65" w:rsidRDefault="00535F65" w:rsidP="00F54A1E">
      <w:pPr>
        <w:spacing w:after="0"/>
        <w:ind w:left="360"/>
      </w:pPr>
    </w:p>
    <w:p w14:paraId="64C3A9D6" w14:textId="77777777" w:rsidR="00535F65" w:rsidRDefault="00535F65" w:rsidP="00F54A1E">
      <w:pPr>
        <w:spacing w:after="0"/>
        <w:ind w:left="360"/>
      </w:pPr>
    </w:p>
    <w:p w14:paraId="42F27901" w14:textId="77777777" w:rsidR="006B18F1" w:rsidRDefault="00691129">
      <w:pPr>
        <w:pStyle w:val="Nadpis1"/>
      </w:pPr>
      <w:bookmarkStart w:id="35" w:name="_Toc438216074"/>
      <w:bookmarkStart w:id="36" w:name="_Toc438557606"/>
      <w:r>
        <w:lastRenderedPageBreak/>
        <w:t>Cenné papíry vydané účetní jednotkou</w:t>
      </w:r>
      <w:bookmarkEnd w:id="35"/>
      <w:bookmarkEnd w:id="36"/>
    </w:p>
    <w:p w14:paraId="6B190682" w14:textId="77777777" w:rsidR="00DF67C5" w:rsidRPr="00DF67C5" w:rsidRDefault="00DF67C5" w:rsidP="00DF67C5"/>
    <w:p w14:paraId="3A1B9FB0" w14:textId="77777777" w:rsidR="006B18F1" w:rsidRPr="00DF67C5" w:rsidRDefault="00DF67C5" w:rsidP="00DF67C5">
      <w:r>
        <w:t>Účetní jednotka vydala za dobu své ekonomické činnosti 20 ks „akcií na jméno“ v nominální hodnotě jedné akcie 100 tis. Kč a 500 ks „akcií na majitele“ nominální hodnotě na jednu akcii 100 tis. Kč</w:t>
      </w:r>
    </w:p>
    <w:p w14:paraId="50CA0385" w14:textId="77777777" w:rsidR="006B18F1" w:rsidRDefault="006B18F1">
      <w:pPr>
        <w:autoSpaceDE w:val="0"/>
        <w:spacing w:after="0" w:line="240" w:lineRule="auto"/>
        <w:rPr>
          <w:rFonts w:cs="Calibri"/>
          <w:bCs/>
        </w:rPr>
      </w:pPr>
    </w:p>
    <w:p w14:paraId="65C871FC" w14:textId="77777777" w:rsidR="00535F65" w:rsidRDefault="00535F65">
      <w:pPr>
        <w:autoSpaceDE w:val="0"/>
        <w:spacing w:after="0" w:line="240" w:lineRule="auto"/>
        <w:rPr>
          <w:rFonts w:cs="Calibri"/>
          <w:bCs/>
        </w:rPr>
      </w:pPr>
    </w:p>
    <w:p w14:paraId="70F5E453" w14:textId="77777777" w:rsidR="006B18F1" w:rsidRDefault="00691129">
      <w:pPr>
        <w:pStyle w:val="Nadpis1"/>
      </w:pPr>
      <w:bookmarkStart w:id="37" w:name="_Toc438216075"/>
      <w:bookmarkStart w:id="38" w:name="_Toc438557607"/>
      <w:r>
        <w:t>Informace o rozdělení zisku nebo vypořádání ztráty</w:t>
      </w:r>
      <w:bookmarkEnd w:id="37"/>
      <w:bookmarkEnd w:id="38"/>
    </w:p>
    <w:p w14:paraId="24452A48" w14:textId="77777777" w:rsidR="006B18F1" w:rsidRDefault="006B18F1">
      <w:pPr>
        <w:autoSpaceDE w:val="0"/>
        <w:spacing w:after="0" w:line="240" w:lineRule="auto"/>
        <w:rPr>
          <w:rFonts w:cs="Calibri"/>
          <w:bCs/>
        </w:rPr>
      </w:pPr>
    </w:p>
    <w:p w14:paraId="0C73D5D0" w14:textId="29AC9A9E" w:rsidR="006B18F1" w:rsidRDefault="00DF67C5">
      <w:pPr>
        <w:autoSpaceDE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 xml:space="preserve">Na základě hospodářského výsledku </w:t>
      </w:r>
      <w:r w:rsidR="00C3350E">
        <w:rPr>
          <w:rFonts w:cs="Calibri"/>
          <w:bCs/>
        </w:rPr>
        <w:t>za</w:t>
      </w:r>
      <w:r>
        <w:rPr>
          <w:rFonts w:cs="Calibri"/>
          <w:bCs/>
        </w:rPr>
        <w:t> ro</w:t>
      </w:r>
      <w:r w:rsidR="00C3350E">
        <w:rPr>
          <w:rFonts w:cs="Calibri"/>
          <w:bCs/>
        </w:rPr>
        <w:t>k</w:t>
      </w:r>
      <w:r>
        <w:rPr>
          <w:rFonts w:cs="Calibri"/>
          <w:bCs/>
        </w:rPr>
        <w:t xml:space="preserve"> 20</w:t>
      </w:r>
      <w:r w:rsidR="00527186">
        <w:rPr>
          <w:rFonts w:cs="Calibri"/>
          <w:bCs/>
        </w:rPr>
        <w:t>2</w:t>
      </w:r>
      <w:r w:rsidR="00135E0A">
        <w:rPr>
          <w:rFonts w:cs="Calibri"/>
          <w:bCs/>
        </w:rPr>
        <w:t>4</w:t>
      </w:r>
      <w:r>
        <w:rPr>
          <w:rFonts w:cs="Calibri"/>
          <w:bCs/>
        </w:rPr>
        <w:t xml:space="preserve"> </w:t>
      </w:r>
      <w:r w:rsidR="001771C4">
        <w:rPr>
          <w:rFonts w:cs="Calibri"/>
          <w:bCs/>
        </w:rPr>
        <w:t xml:space="preserve">bude rozhodnuto o případné výplatě </w:t>
      </w:r>
      <w:r>
        <w:rPr>
          <w:rFonts w:cs="Calibri"/>
          <w:bCs/>
        </w:rPr>
        <w:t>podíl</w:t>
      </w:r>
      <w:r w:rsidR="001771C4">
        <w:rPr>
          <w:rFonts w:cs="Calibri"/>
          <w:bCs/>
        </w:rPr>
        <w:t xml:space="preserve">u </w:t>
      </w:r>
      <w:r>
        <w:rPr>
          <w:rFonts w:cs="Calibri"/>
          <w:bCs/>
        </w:rPr>
        <w:t>na zisku</w:t>
      </w:r>
      <w:r w:rsidR="00C3350E">
        <w:rPr>
          <w:rFonts w:cs="Calibri"/>
          <w:bCs/>
        </w:rPr>
        <w:t xml:space="preserve"> </w:t>
      </w:r>
      <w:r w:rsidR="001771C4">
        <w:rPr>
          <w:rFonts w:cs="Calibri"/>
          <w:bCs/>
        </w:rPr>
        <w:t xml:space="preserve">akcionářům </w:t>
      </w:r>
      <w:r w:rsidR="00C3350E">
        <w:rPr>
          <w:rFonts w:cs="Calibri"/>
          <w:bCs/>
        </w:rPr>
        <w:t>v roce 202</w:t>
      </w:r>
      <w:r w:rsidR="00135E0A">
        <w:rPr>
          <w:rFonts w:cs="Calibri"/>
          <w:bCs/>
        </w:rPr>
        <w:t>5</w:t>
      </w:r>
      <w:r w:rsidR="00C3350E">
        <w:rPr>
          <w:rFonts w:cs="Calibri"/>
          <w:bCs/>
        </w:rPr>
        <w:t>.</w:t>
      </w:r>
      <w:r>
        <w:rPr>
          <w:rFonts w:cs="Calibri"/>
          <w:bCs/>
        </w:rPr>
        <w:t xml:space="preserve"> </w:t>
      </w:r>
      <w:r w:rsidR="00230177">
        <w:rPr>
          <w:rFonts w:cs="Calibri"/>
          <w:bCs/>
        </w:rPr>
        <w:t>Výše podílu na zisku bude upřesněna po schválení valnou hromadou. Ostatní nevyplacený zisk zůstane na účtu 428- nevyplacený zisk minulých let.</w:t>
      </w:r>
    </w:p>
    <w:p w14:paraId="52DE553E" w14:textId="77777777" w:rsidR="006B18F1" w:rsidRDefault="006B18F1">
      <w:pPr>
        <w:autoSpaceDE w:val="0"/>
        <w:spacing w:after="0" w:line="240" w:lineRule="auto"/>
        <w:rPr>
          <w:rFonts w:cs="Calibri"/>
          <w:bCs/>
        </w:rPr>
      </w:pPr>
    </w:p>
    <w:p w14:paraId="36790CB5" w14:textId="39CF45CE" w:rsidR="006B18F1" w:rsidRDefault="006B18F1">
      <w:pPr>
        <w:autoSpaceDE w:val="0"/>
        <w:spacing w:after="0" w:line="240" w:lineRule="auto"/>
        <w:rPr>
          <w:rFonts w:cs="Calibri"/>
          <w:bCs/>
        </w:rPr>
      </w:pPr>
    </w:p>
    <w:p w14:paraId="5FB5CE2B" w14:textId="77777777" w:rsidR="00FE1CEC" w:rsidRDefault="00FE1CEC">
      <w:pPr>
        <w:autoSpaceDE w:val="0"/>
        <w:spacing w:after="0" w:line="240" w:lineRule="auto"/>
        <w:rPr>
          <w:rFonts w:cs="Calibri"/>
          <w:bCs/>
        </w:rPr>
      </w:pPr>
    </w:p>
    <w:p w14:paraId="5CE945C8" w14:textId="77777777" w:rsidR="006B18F1" w:rsidRDefault="00691129">
      <w:pPr>
        <w:pStyle w:val="Nadpis1"/>
      </w:pPr>
      <w:bookmarkStart w:id="39" w:name="_Toc438216076"/>
      <w:bookmarkStart w:id="40" w:name="_Toc438557608"/>
      <w:r>
        <w:t>Informace o položkách dlouhodobých aktiv</w:t>
      </w:r>
      <w:bookmarkEnd w:id="39"/>
      <w:bookmarkEnd w:id="40"/>
    </w:p>
    <w:p w14:paraId="7C26F52D" w14:textId="77777777" w:rsidR="006B18F1" w:rsidRDefault="006B18F1">
      <w:pPr>
        <w:spacing w:after="0"/>
      </w:pPr>
    </w:p>
    <w:p w14:paraId="7D98B249" w14:textId="5AC68701" w:rsidR="006B18F1" w:rsidRDefault="00230177" w:rsidP="00230177">
      <w:pPr>
        <w:pStyle w:val="Nadpis2"/>
      </w:pPr>
      <w:r>
        <w:t>Dlouhodobý hmotný a nehmotný majetek</w:t>
      </w:r>
      <w:r w:rsidR="00127BF2">
        <w:t xml:space="preserve"> </w:t>
      </w:r>
    </w:p>
    <w:p w14:paraId="65FC8CEF" w14:textId="2B02CFF1" w:rsidR="00230177" w:rsidRDefault="00872392" w:rsidP="00872392">
      <w:pPr>
        <w:ind w:left="624"/>
      </w:pPr>
      <w:r>
        <w:t>(v tisících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33"/>
        <w:gridCol w:w="1743"/>
        <w:gridCol w:w="1735"/>
        <w:gridCol w:w="1718"/>
        <w:gridCol w:w="1733"/>
      </w:tblGrid>
      <w:tr w:rsidR="00F71C29" w14:paraId="7ECD9ACB" w14:textId="77777777" w:rsidTr="00486F8B">
        <w:tc>
          <w:tcPr>
            <w:tcW w:w="2133" w:type="dxa"/>
          </w:tcPr>
          <w:p w14:paraId="24B794C0" w14:textId="77777777" w:rsidR="008E5B0B" w:rsidRDefault="008E5B0B" w:rsidP="00230177">
            <w:r>
              <w:t>Dlouhodobá aktiva</w:t>
            </w:r>
          </w:p>
        </w:tc>
        <w:tc>
          <w:tcPr>
            <w:tcW w:w="1743" w:type="dxa"/>
          </w:tcPr>
          <w:p w14:paraId="31D2611E" w14:textId="77777777" w:rsidR="008E5B0B" w:rsidRDefault="008E5B0B" w:rsidP="00230177">
            <w:r>
              <w:t>Počáteční stav</w:t>
            </w:r>
          </w:p>
        </w:tc>
        <w:tc>
          <w:tcPr>
            <w:tcW w:w="1735" w:type="dxa"/>
          </w:tcPr>
          <w:p w14:paraId="6EE48DCB" w14:textId="77777777" w:rsidR="008E5B0B" w:rsidRDefault="008E5B0B" w:rsidP="00230177">
            <w:r>
              <w:t>přírůstky</w:t>
            </w:r>
          </w:p>
        </w:tc>
        <w:tc>
          <w:tcPr>
            <w:tcW w:w="1718" w:type="dxa"/>
          </w:tcPr>
          <w:p w14:paraId="5120930A" w14:textId="77777777" w:rsidR="008E5B0B" w:rsidRDefault="008E5B0B" w:rsidP="00230177">
            <w:r>
              <w:t>úbytky</w:t>
            </w:r>
          </w:p>
        </w:tc>
        <w:tc>
          <w:tcPr>
            <w:tcW w:w="1733" w:type="dxa"/>
          </w:tcPr>
          <w:p w14:paraId="69B5CEDB" w14:textId="77777777" w:rsidR="008E5B0B" w:rsidRDefault="008E5B0B" w:rsidP="00230177">
            <w:r>
              <w:t>Konečný stav</w:t>
            </w:r>
          </w:p>
        </w:tc>
      </w:tr>
      <w:tr w:rsidR="00F71C29" w14:paraId="0C20D717" w14:textId="77777777" w:rsidTr="00486F8B">
        <w:tc>
          <w:tcPr>
            <w:tcW w:w="2133" w:type="dxa"/>
          </w:tcPr>
          <w:p w14:paraId="30B86BE3" w14:textId="77777777" w:rsidR="00F71C29" w:rsidRDefault="00F71C29" w:rsidP="00230177">
            <w:r>
              <w:t>Pozemky</w:t>
            </w:r>
          </w:p>
        </w:tc>
        <w:tc>
          <w:tcPr>
            <w:tcW w:w="1743" w:type="dxa"/>
          </w:tcPr>
          <w:p w14:paraId="2E0FACF9" w14:textId="3D872296" w:rsidR="008E5B0B" w:rsidRDefault="00FE1CEC" w:rsidP="00230177">
            <w:r>
              <w:t xml:space="preserve">        </w:t>
            </w:r>
            <w:r w:rsidR="0068707D">
              <w:t xml:space="preserve">     </w:t>
            </w:r>
            <w:r w:rsidR="00127BF2">
              <w:t>86</w:t>
            </w:r>
          </w:p>
        </w:tc>
        <w:tc>
          <w:tcPr>
            <w:tcW w:w="1735" w:type="dxa"/>
          </w:tcPr>
          <w:p w14:paraId="2A6B8734" w14:textId="3016A6F5" w:rsidR="008E5B0B" w:rsidRDefault="0068707D" w:rsidP="00230177">
            <w:r>
              <w:t xml:space="preserve">             </w:t>
            </w:r>
            <w:r w:rsidR="00127BF2">
              <w:t>0</w:t>
            </w:r>
          </w:p>
        </w:tc>
        <w:tc>
          <w:tcPr>
            <w:tcW w:w="1718" w:type="dxa"/>
          </w:tcPr>
          <w:p w14:paraId="7A2E98F3" w14:textId="4E43FB72" w:rsidR="008E5B0B" w:rsidRDefault="0068707D" w:rsidP="00230177">
            <w:r>
              <w:t xml:space="preserve">              </w:t>
            </w:r>
            <w:r w:rsidR="00127BF2">
              <w:t>0</w:t>
            </w:r>
          </w:p>
        </w:tc>
        <w:tc>
          <w:tcPr>
            <w:tcW w:w="1733" w:type="dxa"/>
          </w:tcPr>
          <w:p w14:paraId="68AE91EB" w14:textId="325DB05E" w:rsidR="008E5B0B" w:rsidRDefault="00127BF2" w:rsidP="00230177">
            <w:r>
              <w:t xml:space="preserve">       </w:t>
            </w:r>
            <w:r w:rsidR="0068707D">
              <w:t xml:space="preserve">     </w:t>
            </w:r>
            <w:r>
              <w:t xml:space="preserve"> 86 </w:t>
            </w:r>
          </w:p>
        </w:tc>
      </w:tr>
      <w:tr w:rsidR="00F71C29" w14:paraId="6E88AECC" w14:textId="77777777" w:rsidTr="00486F8B">
        <w:tc>
          <w:tcPr>
            <w:tcW w:w="2133" w:type="dxa"/>
          </w:tcPr>
          <w:p w14:paraId="62E8445A" w14:textId="77777777" w:rsidR="008E5B0B" w:rsidRDefault="00F71C29" w:rsidP="00230177">
            <w:r>
              <w:t>Stavby</w:t>
            </w:r>
          </w:p>
        </w:tc>
        <w:tc>
          <w:tcPr>
            <w:tcW w:w="1743" w:type="dxa"/>
          </w:tcPr>
          <w:p w14:paraId="039316FA" w14:textId="080BC38A" w:rsidR="008E5B0B" w:rsidRDefault="0068707D" w:rsidP="00230177">
            <w:r>
              <w:t xml:space="preserve">      </w:t>
            </w:r>
            <w:r w:rsidR="00127BF2">
              <w:t>16 68</w:t>
            </w:r>
            <w:r w:rsidR="00486F8B">
              <w:t>4</w:t>
            </w:r>
            <w:r w:rsidR="00127BF2">
              <w:t xml:space="preserve"> </w:t>
            </w:r>
          </w:p>
        </w:tc>
        <w:tc>
          <w:tcPr>
            <w:tcW w:w="1735" w:type="dxa"/>
          </w:tcPr>
          <w:p w14:paraId="3CE525F9" w14:textId="4666E6EE" w:rsidR="008E5B0B" w:rsidRDefault="0068707D" w:rsidP="00230177">
            <w:r>
              <w:t xml:space="preserve">             </w:t>
            </w:r>
            <w:r w:rsidR="00127BF2">
              <w:t>0</w:t>
            </w:r>
          </w:p>
        </w:tc>
        <w:tc>
          <w:tcPr>
            <w:tcW w:w="1718" w:type="dxa"/>
          </w:tcPr>
          <w:p w14:paraId="3DEEA14A" w14:textId="1BCBCFEE" w:rsidR="008E5B0B" w:rsidRDefault="0068707D" w:rsidP="00230177">
            <w:r>
              <w:t xml:space="preserve">              </w:t>
            </w:r>
            <w:r w:rsidR="00127BF2">
              <w:t>0</w:t>
            </w:r>
          </w:p>
        </w:tc>
        <w:tc>
          <w:tcPr>
            <w:tcW w:w="1733" w:type="dxa"/>
          </w:tcPr>
          <w:p w14:paraId="06AE79F0" w14:textId="481A4249" w:rsidR="008E5B0B" w:rsidRDefault="0068707D" w:rsidP="00230177">
            <w:r>
              <w:t xml:space="preserve">     </w:t>
            </w:r>
            <w:r w:rsidR="00127BF2">
              <w:t>16 68</w:t>
            </w:r>
            <w:r w:rsidR="00486F8B">
              <w:t>4</w:t>
            </w:r>
            <w:r w:rsidR="00127BF2">
              <w:t xml:space="preserve"> </w:t>
            </w:r>
          </w:p>
        </w:tc>
      </w:tr>
      <w:tr w:rsidR="00F71C29" w14:paraId="5F2332D4" w14:textId="77777777" w:rsidTr="00486F8B">
        <w:tc>
          <w:tcPr>
            <w:tcW w:w="2133" w:type="dxa"/>
          </w:tcPr>
          <w:p w14:paraId="71205631" w14:textId="77B2E0C5" w:rsidR="00793E8D" w:rsidRDefault="00F71C29" w:rsidP="00230177">
            <w:r>
              <w:t>Technic</w:t>
            </w:r>
            <w:r w:rsidR="00940292">
              <w:t>ké</w:t>
            </w:r>
            <w:r>
              <w:t xml:space="preserve"> </w:t>
            </w:r>
            <w:proofErr w:type="spellStart"/>
            <w:r>
              <w:t>zhodnoc</w:t>
            </w:r>
            <w:proofErr w:type="spellEnd"/>
            <w:r>
              <w:t>.</w:t>
            </w:r>
            <w:r w:rsidR="00940292">
              <w:t xml:space="preserve"> </w:t>
            </w:r>
            <w:proofErr w:type="gramStart"/>
            <w:r>
              <w:t>pronajat</w:t>
            </w:r>
            <w:r w:rsidR="00793E8D">
              <w:t>ého</w:t>
            </w:r>
            <w:proofErr w:type="gramEnd"/>
          </w:p>
          <w:p w14:paraId="0CA6B44F" w14:textId="20D52EEE" w:rsidR="008E5B0B" w:rsidRDefault="00940292" w:rsidP="00230177">
            <w:r>
              <w:t>m</w:t>
            </w:r>
            <w:r w:rsidR="00F71C29">
              <w:t>ajetku</w:t>
            </w:r>
          </w:p>
        </w:tc>
        <w:tc>
          <w:tcPr>
            <w:tcW w:w="1743" w:type="dxa"/>
          </w:tcPr>
          <w:p w14:paraId="725FF943" w14:textId="23D39BC6" w:rsidR="008E5B0B" w:rsidRDefault="00D91C74" w:rsidP="00230177">
            <w:r>
              <w:t xml:space="preserve">  </w:t>
            </w:r>
            <w:r w:rsidR="0068707D">
              <w:t xml:space="preserve">     </w:t>
            </w:r>
            <w:r>
              <w:t xml:space="preserve"> 1 385</w:t>
            </w:r>
          </w:p>
        </w:tc>
        <w:tc>
          <w:tcPr>
            <w:tcW w:w="1735" w:type="dxa"/>
          </w:tcPr>
          <w:p w14:paraId="66EA72E1" w14:textId="461220D2" w:rsidR="008E5B0B" w:rsidRDefault="0068707D" w:rsidP="00230177">
            <w:r>
              <w:t xml:space="preserve">             </w:t>
            </w:r>
            <w:r w:rsidR="00C3350E">
              <w:t>0</w:t>
            </w:r>
          </w:p>
        </w:tc>
        <w:tc>
          <w:tcPr>
            <w:tcW w:w="1718" w:type="dxa"/>
          </w:tcPr>
          <w:p w14:paraId="4B45FF2C" w14:textId="3F23D9F1" w:rsidR="008E5B0B" w:rsidRDefault="0068707D" w:rsidP="00230177">
            <w:r>
              <w:t xml:space="preserve">              </w:t>
            </w:r>
            <w:r w:rsidR="00127BF2">
              <w:t>0</w:t>
            </w:r>
          </w:p>
        </w:tc>
        <w:tc>
          <w:tcPr>
            <w:tcW w:w="1733" w:type="dxa"/>
          </w:tcPr>
          <w:p w14:paraId="575B283B" w14:textId="1FBFC74C" w:rsidR="008E5B0B" w:rsidRDefault="00127BF2" w:rsidP="00230177">
            <w:r>
              <w:t xml:space="preserve">  </w:t>
            </w:r>
            <w:r w:rsidR="0068707D">
              <w:t xml:space="preserve">    </w:t>
            </w:r>
            <w:r w:rsidR="001A50BD">
              <w:t xml:space="preserve"> </w:t>
            </w:r>
            <w:r>
              <w:t xml:space="preserve">1 385 </w:t>
            </w:r>
          </w:p>
        </w:tc>
      </w:tr>
      <w:tr w:rsidR="00F71C29" w14:paraId="4531F2CC" w14:textId="77777777" w:rsidTr="00486F8B">
        <w:tc>
          <w:tcPr>
            <w:tcW w:w="2133" w:type="dxa"/>
          </w:tcPr>
          <w:p w14:paraId="6461CF39" w14:textId="77777777" w:rsidR="008E5B0B" w:rsidRDefault="00F71C29" w:rsidP="00230177">
            <w:r>
              <w:t>Samostatné movité věci, 022 000</w:t>
            </w:r>
          </w:p>
        </w:tc>
        <w:tc>
          <w:tcPr>
            <w:tcW w:w="1743" w:type="dxa"/>
          </w:tcPr>
          <w:p w14:paraId="1757A03E" w14:textId="0A01EE56" w:rsidR="008E5B0B" w:rsidRDefault="0068707D" w:rsidP="00C3350E">
            <w:r>
              <w:t xml:space="preserve">      </w:t>
            </w:r>
            <w:r w:rsidR="00D91C74">
              <w:t>2</w:t>
            </w:r>
            <w:r w:rsidR="00486F8B">
              <w:t xml:space="preserve">8 </w:t>
            </w:r>
            <w:r w:rsidR="00135E0A">
              <w:t>187</w:t>
            </w:r>
          </w:p>
        </w:tc>
        <w:tc>
          <w:tcPr>
            <w:tcW w:w="1735" w:type="dxa"/>
          </w:tcPr>
          <w:p w14:paraId="17AB1888" w14:textId="0BBE6A60" w:rsidR="008E5B0B" w:rsidRDefault="0068707D" w:rsidP="00C3350E">
            <w:r>
              <w:t xml:space="preserve">       </w:t>
            </w:r>
            <w:r w:rsidR="00135E0A">
              <w:t>2 393</w:t>
            </w:r>
          </w:p>
        </w:tc>
        <w:tc>
          <w:tcPr>
            <w:tcW w:w="1718" w:type="dxa"/>
          </w:tcPr>
          <w:p w14:paraId="19D8E11E" w14:textId="2888D7B0" w:rsidR="008E5B0B" w:rsidRDefault="0068707D" w:rsidP="00C3350E">
            <w:r>
              <w:t xml:space="preserve">       </w:t>
            </w:r>
            <w:r w:rsidR="00C74AE4">
              <w:t>2 421</w:t>
            </w:r>
          </w:p>
        </w:tc>
        <w:tc>
          <w:tcPr>
            <w:tcW w:w="1733" w:type="dxa"/>
          </w:tcPr>
          <w:p w14:paraId="2F3D3BDC" w14:textId="48F495EF" w:rsidR="008E5B0B" w:rsidRDefault="0068707D" w:rsidP="00230177">
            <w:r>
              <w:t xml:space="preserve">      </w:t>
            </w:r>
            <w:r w:rsidR="004370D3">
              <w:t>2</w:t>
            </w:r>
            <w:r w:rsidR="006B5313">
              <w:t>8 </w:t>
            </w:r>
            <w:r w:rsidR="00C74AE4">
              <w:t>159</w:t>
            </w:r>
          </w:p>
          <w:p w14:paraId="3040E8DB" w14:textId="17C6ADF2" w:rsidR="006B5313" w:rsidRDefault="006B5313" w:rsidP="00230177"/>
        </w:tc>
      </w:tr>
      <w:tr w:rsidR="00F71C29" w14:paraId="7C325416" w14:textId="77777777" w:rsidTr="00486F8B">
        <w:tc>
          <w:tcPr>
            <w:tcW w:w="2133" w:type="dxa"/>
          </w:tcPr>
          <w:p w14:paraId="6C9A375E" w14:textId="77777777" w:rsidR="008E5B0B" w:rsidRDefault="00127BF2" w:rsidP="00230177">
            <w:r>
              <w:t>S</w:t>
            </w:r>
            <w:r w:rsidR="00F71C29">
              <w:t>oftware</w:t>
            </w:r>
          </w:p>
        </w:tc>
        <w:tc>
          <w:tcPr>
            <w:tcW w:w="1743" w:type="dxa"/>
          </w:tcPr>
          <w:p w14:paraId="2485C17D" w14:textId="3845107D" w:rsidR="008E5B0B" w:rsidRDefault="00753014" w:rsidP="00230177">
            <w:r>
              <w:t xml:space="preserve">      </w:t>
            </w:r>
            <w:r w:rsidR="0068707D">
              <w:t xml:space="preserve">    </w:t>
            </w:r>
            <w:r>
              <w:t xml:space="preserve"> </w:t>
            </w:r>
            <w:r w:rsidR="00262453">
              <w:t>217</w:t>
            </w:r>
          </w:p>
          <w:p w14:paraId="734B00DD" w14:textId="3E1E1E86" w:rsidR="00262453" w:rsidRDefault="00262453" w:rsidP="00230177"/>
        </w:tc>
        <w:tc>
          <w:tcPr>
            <w:tcW w:w="1735" w:type="dxa"/>
          </w:tcPr>
          <w:p w14:paraId="1F6D17E5" w14:textId="4FB6ABFB" w:rsidR="008E5B0B" w:rsidRDefault="0068707D" w:rsidP="00230177">
            <w:r>
              <w:t xml:space="preserve">              </w:t>
            </w:r>
            <w:r w:rsidR="00127BF2">
              <w:t>0</w:t>
            </w:r>
          </w:p>
        </w:tc>
        <w:tc>
          <w:tcPr>
            <w:tcW w:w="1718" w:type="dxa"/>
          </w:tcPr>
          <w:p w14:paraId="373A7E8A" w14:textId="5D2FAFF5" w:rsidR="008E5B0B" w:rsidRDefault="0068707D" w:rsidP="00230177">
            <w:r>
              <w:t xml:space="preserve">              </w:t>
            </w:r>
            <w:r w:rsidR="00262453">
              <w:t>0</w:t>
            </w:r>
          </w:p>
        </w:tc>
        <w:tc>
          <w:tcPr>
            <w:tcW w:w="1733" w:type="dxa"/>
          </w:tcPr>
          <w:p w14:paraId="5A153F82" w14:textId="7F4AAF54" w:rsidR="008E5B0B" w:rsidRDefault="00E630AC" w:rsidP="00230177">
            <w:r>
              <w:t xml:space="preserve">     </w:t>
            </w:r>
            <w:r w:rsidR="0068707D">
              <w:t xml:space="preserve">      </w:t>
            </w:r>
            <w:r w:rsidR="00C3350E">
              <w:t xml:space="preserve">217 </w:t>
            </w:r>
          </w:p>
        </w:tc>
      </w:tr>
    </w:tbl>
    <w:p w14:paraId="7B4BE607" w14:textId="77777777" w:rsidR="00FE1CEC" w:rsidRDefault="00FE1CEC" w:rsidP="00230177"/>
    <w:p w14:paraId="3134D255" w14:textId="77777777" w:rsidR="008E5B0B" w:rsidRDefault="008E5B0B" w:rsidP="008E5B0B">
      <w:pPr>
        <w:pStyle w:val="Nadpis2"/>
      </w:pPr>
      <w:r>
        <w:t>Oprávky k HIM a NHIM</w:t>
      </w:r>
    </w:p>
    <w:p w14:paraId="5638EBBE" w14:textId="77777777" w:rsidR="00872392" w:rsidRDefault="00872392" w:rsidP="00872392">
      <w:pPr>
        <w:ind w:left="624"/>
      </w:pPr>
      <w:r>
        <w:t>(v tisících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9"/>
        <w:gridCol w:w="1918"/>
        <w:gridCol w:w="1735"/>
        <w:gridCol w:w="1735"/>
        <w:gridCol w:w="1735"/>
      </w:tblGrid>
      <w:tr w:rsidR="00F71C29" w14:paraId="33CBF0D2" w14:textId="77777777" w:rsidTr="00F71C29">
        <w:tc>
          <w:tcPr>
            <w:tcW w:w="1939" w:type="dxa"/>
          </w:tcPr>
          <w:p w14:paraId="0B7D8F96" w14:textId="77777777" w:rsidR="00F71C29" w:rsidRDefault="00F71C29" w:rsidP="00230177">
            <w:r>
              <w:t>Oprávky, účet</w:t>
            </w:r>
          </w:p>
        </w:tc>
        <w:tc>
          <w:tcPr>
            <w:tcW w:w="1918" w:type="dxa"/>
          </w:tcPr>
          <w:p w14:paraId="6AFA17C0" w14:textId="77777777" w:rsidR="00F71C29" w:rsidRDefault="00127BF2" w:rsidP="00230177">
            <w:r>
              <w:t>P</w:t>
            </w:r>
            <w:r w:rsidR="00F71C29">
              <w:t>očátek</w:t>
            </w:r>
          </w:p>
        </w:tc>
        <w:tc>
          <w:tcPr>
            <w:tcW w:w="1735" w:type="dxa"/>
          </w:tcPr>
          <w:p w14:paraId="176E0BAD" w14:textId="77777777" w:rsidR="00F71C29" w:rsidRDefault="00F71C29" w:rsidP="00230177">
            <w:r>
              <w:t>přírůstek</w:t>
            </w:r>
          </w:p>
        </w:tc>
        <w:tc>
          <w:tcPr>
            <w:tcW w:w="1735" w:type="dxa"/>
          </w:tcPr>
          <w:p w14:paraId="73C2A71D" w14:textId="77777777" w:rsidR="00F71C29" w:rsidRDefault="00F71C29" w:rsidP="00230177">
            <w:r>
              <w:t>úbytek</w:t>
            </w:r>
          </w:p>
        </w:tc>
        <w:tc>
          <w:tcPr>
            <w:tcW w:w="1735" w:type="dxa"/>
          </w:tcPr>
          <w:p w14:paraId="0D91F761" w14:textId="77777777" w:rsidR="00F71C29" w:rsidRDefault="00F71C29" w:rsidP="00230177">
            <w:r>
              <w:t>Konečný stav</w:t>
            </w:r>
          </w:p>
        </w:tc>
      </w:tr>
      <w:tr w:rsidR="00F71C29" w14:paraId="3EA0DAE8" w14:textId="77777777" w:rsidTr="00F71C29">
        <w:tc>
          <w:tcPr>
            <w:tcW w:w="1939" w:type="dxa"/>
          </w:tcPr>
          <w:p w14:paraId="31E2850D" w14:textId="77777777" w:rsidR="00F71C29" w:rsidRDefault="00127BF2" w:rsidP="00230177">
            <w:r>
              <w:t>NHIM, 070 000</w:t>
            </w:r>
          </w:p>
        </w:tc>
        <w:tc>
          <w:tcPr>
            <w:tcW w:w="1918" w:type="dxa"/>
          </w:tcPr>
          <w:p w14:paraId="5A17189D" w14:textId="61BD602F" w:rsidR="00F71C29" w:rsidRDefault="006F78E2" w:rsidP="00230177">
            <w:r>
              <w:t xml:space="preserve"> </w:t>
            </w:r>
            <w:r w:rsidR="00753014">
              <w:t xml:space="preserve">   </w:t>
            </w:r>
            <w:r w:rsidR="0068707D">
              <w:t xml:space="preserve">        </w:t>
            </w:r>
            <w:r w:rsidR="00753014">
              <w:t xml:space="preserve"> </w:t>
            </w:r>
            <w:r w:rsidR="00262453">
              <w:t xml:space="preserve">217 </w:t>
            </w:r>
            <w:r w:rsidR="001A50BD">
              <w:t xml:space="preserve">  </w:t>
            </w:r>
          </w:p>
        </w:tc>
        <w:tc>
          <w:tcPr>
            <w:tcW w:w="1735" w:type="dxa"/>
          </w:tcPr>
          <w:p w14:paraId="43183785" w14:textId="3A93DA78" w:rsidR="00F71C29" w:rsidRDefault="006F78E2" w:rsidP="00230177">
            <w:r>
              <w:t xml:space="preserve">     </w:t>
            </w:r>
            <w:r w:rsidR="001D1B3E">
              <w:t xml:space="preserve">        </w:t>
            </w:r>
            <w:r w:rsidR="00262453">
              <w:t>0</w:t>
            </w:r>
          </w:p>
        </w:tc>
        <w:tc>
          <w:tcPr>
            <w:tcW w:w="1735" w:type="dxa"/>
          </w:tcPr>
          <w:p w14:paraId="1316C628" w14:textId="5857CB90" w:rsidR="00F71C29" w:rsidRDefault="001D1B3E" w:rsidP="00230177">
            <w:r>
              <w:t xml:space="preserve">              </w:t>
            </w:r>
            <w:r w:rsidR="00262453">
              <w:t>0</w:t>
            </w:r>
          </w:p>
        </w:tc>
        <w:tc>
          <w:tcPr>
            <w:tcW w:w="1735" w:type="dxa"/>
          </w:tcPr>
          <w:p w14:paraId="6BBCA207" w14:textId="5F397A68" w:rsidR="00F71C29" w:rsidRDefault="00262453" w:rsidP="00230177">
            <w:r>
              <w:t xml:space="preserve">  </w:t>
            </w:r>
            <w:r w:rsidR="00753014">
              <w:t xml:space="preserve">  </w:t>
            </w:r>
            <w:r w:rsidR="001D1B3E">
              <w:t xml:space="preserve">     </w:t>
            </w:r>
            <w:r>
              <w:t xml:space="preserve"> </w:t>
            </w:r>
            <w:r w:rsidR="006F78E2">
              <w:t xml:space="preserve">217 </w:t>
            </w:r>
          </w:p>
        </w:tc>
      </w:tr>
      <w:tr w:rsidR="00F71C29" w14:paraId="6BD76B66" w14:textId="77777777" w:rsidTr="00F71C29">
        <w:tc>
          <w:tcPr>
            <w:tcW w:w="1939" w:type="dxa"/>
          </w:tcPr>
          <w:p w14:paraId="3BFAD391" w14:textId="77777777" w:rsidR="00F71C29" w:rsidRDefault="00127BF2" w:rsidP="00230177">
            <w:r>
              <w:t>Stavby, 081 000</w:t>
            </w:r>
          </w:p>
        </w:tc>
        <w:tc>
          <w:tcPr>
            <w:tcW w:w="1918" w:type="dxa"/>
          </w:tcPr>
          <w:p w14:paraId="209340FD" w14:textId="06E0D3F9" w:rsidR="00F71C29" w:rsidRDefault="001D1B3E" w:rsidP="00230177">
            <w:r>
              <w:t xml:space="preserve">   </w:t>
            </w:r>
            <w:r w:rsidR="0068707D">
              <w:t xml:space="preserve">       </w:t>
            </w:r>
            <w:r w:rsidR="00C74AE4">
              <w:t>8 552</w:t>
            </w:r>
          </w:p>
        </w:tc>
        <w:tc>
          <w:tcPr>
            <w:tcW w:w="1735" w:type="dxa"/>
          </w:tcPr>
          <w:p w14:paraId="4C30DF2F" w14:textId="58B1DAA6" w:rsidR="00F71C29" w:rsidRDefault="001D1B3E" w:rsidP="00230177">
            <w:r>
              <w:t xml:space="preserve">         5</w:t>
            </w:r>
            <w:r w:rsidR="00C74AE4">
              <w:t>80</w:t>
            </w:r>
          </w:p>
        </w:tc>
        <w:tc>
          <w:tcPr>
            <w:tcW w:w="1735" w:type="dxa"/>
          </w:tcPr>
          <w:p w14:paraId="09EEED89" w14:textId="72C2A4A3" w:rsidR="00F71C29" w:rsidRDefault="001D1B3E" w:rsidP="00230177">
            <w:r>
              <w:t xml:space="preserve">              </w:t>
            </w:r>
            <w:r w:rsidR="00624196">
              <w:t>0</w:t>
            </w:r>
          </w:p>
        </w:tc>
        <w:tc>
          <w:tcPr>
            <w:tcW w:w="1735" w:type="dxa"/>
          </w:tcPr>
          <w:p w14:paraId="2E1B63FB" w14:textId="36DE32B9" w:rsidR="00F71C29" w:rsidRDefault="00753014" w:rsidP="00230177">
            <w:r>
              <w:t xml:space="preserve"> </w:t>
            </w:r>
            <w:r w:rsidR="001D1B3E">
              <w:t xml:space="preserve">     </w:t>
            </w:r>
            <w:r>
              <w:t xml:space="preserve"> </w:t>
            </w:r>
            <w:r w:rsidR="00C74AE4">
              <w:t>9</w:t>
            </w:r>
            <w:r w:rsidR="001D1B3E">
              <w:t xml:space="preserve"> </w:t>
            </w:r>
            <w:r w:rsidR="00C74AE4">
              <w:t>132</w:t>
            </w:r>
            <w:r w:rsidR="00262453">
              <w:t xml:space="preserve"> </w:t>
            </w:r>
          </w:p>
        </w:tc>
      </w:tr>
      <w:tr w:rsidR="00F71C29" w14:paraId="612A38CB" w14:textId="77777777" w:rsidTr="00F71C29">
        <w:tc>
          <w:tcPr>
            <w:tcW w:w="1939" w:type="dxa"/>
          </w:tcPr>
          <w:p w14:paraId="42401261" w14:textId="77777777" w:rsidR="00F71C29" w:rsidRDefault="00127BF2" w:rsidP="00230177">
            <w:r>
              <w:t>HIM, 082 000</w:t>
            </w:r>
          </w:p>
        </w:tc>
        <w:tc>
          <w:tcPr>
            <w:tcW w:w="1918" w:type="dxa"/>
          </w:tcPr>
          <w:p w14:paraId="2F0DE37D" w14:textId="50B8105C" w:rsidR="00F71C29" w:rsidRDefault="001D1B3E" w:rsidP="00230177">
            <w:r>
              <w:t xml:space="preserve"> </w:t>
            </w:r>
            <w:r w:rsidR="0068707D">
              <w:t xml:space="preserve">       </w:t>
            </w:r>
            <w:r w:rsidR="006F78E2">
              <w:t>1</w:t>
            </w:r>
            <w:r>
              <w:t xml:space="preserve">9 </w:t>
            </w:r>
            <w:r w:rsidR="00C74AE4">
              <w:t>414</w:t>
            </w:r>
          </w:p>
        </w:tc>
        <w:tc>
          <w:tcPr>
            <w:tcW w:w="1735" w:type="dxa"/>
          </w:tcPr>
          <w:p w14:paraId="42DCFA7E" w14:textId="2E839EBF" w:rsidR="00F71C29" w:rsidRDefault="001D1B3E" w:rsidP="00230177">
            <w:r>
              <w:t xml:space="preserve">     </w:t>
            </w:r>
            <w:r w:rsidR="00C74AE4">
              <w:t>4 054</w:t>
            </w:r>
          </w:p>
        </w:tc>
        <w:tc>
          <w:tcPr>
            <w:tcW w:w="1735" w:type="dxa"/>
          </w:tcPr>
          <w:p w14:paraId="32828393" w14:textId="196ABA8E" w:rsidR="00F71C29" w:rsidRDefault="001D1B3E" w:rsidP="00230177">
            <w:r>
              <w:t xml:space="preserve">       </w:t>
            </w:r>
            <w:r w:rsidR="00C74AE4">
              <w:t>2 421</w:t>
            </w:r>
          </w:p>
        </w:tc>
        <w:tc>
          <w:tcPr>
            <w:tcW w:w="1735" w:type="dxa"/>
          </w:tcPr>
          <w:p w14:paraId="53FE6309" w14:textId="39318A94" w:rsidR="00F71C29" w:rsidRDefault="001D1B3E" w:rsidP="00230177">
            <w:r>
              <w:t xml:space="preserve">     </w:t>
            </w:r>
            <w:r w:rsidR="00C74AE4">
              <w:t>21 047</w:t>
            </w:r>
          </w:p>
        </w:tc>
      </w:tr>
      <w:tr w:rsidR="00F71C29" w14:paraId="57970367" w14:textId="77777777" w:rsidTr="00F71C29">
        <w:tc>
          <w:tcPr>
            <w:tcW w:w="1939" w:type="dxa"/>
          </w:tcPr>
          <w:p w14:paraId="2BD1AC7F" w14:textId="77777777" w:rsidR="00F71C29" w:rsidRDefault="00127BF2" w:rsidP="00230177">
            <w:r>
              <w:t>Pronajatý majetek 089 001</w:t>
            </w:r>
          </w:p>
        </w:tc>
        <w:tc>
          <w:tcPr>
            <w:tcW w:w="1918" w:type="dxa"/>
          </w:tcPr>
          <w:p w14:paraId="25D35B6E" w14:textId="4DC273D8" w:rsidR="00F71C29" w:rsidRDefault="001D1B3E" w:rsidP="00230177">
            <w:r>
              <w:t xml:space="preserve">      </w:t>
            </w:r>
            <w:r w:rsidR="0068707D">
              <w:t xml:space="preserve">       </w:t>
            </w:r>
            <w:r>
              <w:t xml:space="preserve"> 3</w:t>
            </w:r>
            <w:r w:rsidR="00C74AE4">
              <w:t>49</w:t>
            </w:r>
          </w:p>
        </w:tc>
        <w:tc>
          <w:tcPr>
            <w:tcW w:w="1735" w:type="dxa"/>
          </w:tcPr>
          <w:p w14:paraId="386755E4" w14:textId="049D21E5" w:rsidR="00F71C29" w:rsidRDefault="006F78E2" w:rsidP="00230177">
            <w:r>
              <w:t xml:space="preserve">     </w:t>
            </w:r>
            <w:r w:rsidR="001D1B3E">
              <w:t xml:space="preserve">      </w:t>
            </w:r>
            <w:r>
              <w:t xml:space="preserve"> </w:t>
            </w:r>
            <w:r w:rsidR="00624196">
              <w:t xml:space="preserve">47 </w:t>
            </w:r>
          </w:p>
        </w:tc>
        <w:tc>
          <w:tcPr>
            <w:tcW w:w="1735" w:type="dxa"/>
          </w:tcPr>
          <w:p w14:paraId="6F56D7E1" w14:textId="533EAF16" w:rsidR="00F71C29" w:rsidRDefault="001D1B3E" w:rsidP="00230177">
            <w:r>
              <w:t xml:space="preserve">               </w:t>
            </w:r>
            <w:r w:rsidR="00624196">
              <w:t>0</w:t>
            </w:r>
          </w:p>
        </w:tc>
        <w:tc>
          <w:tcPr>
            <w:tcW w:w="1735" w:type="dxa"/>
          </w:tcPr>
          <w:p w14:paraId="71A4BA96" w14:textId="19B9F343" w:rsidR="00F71C29" w:rsidRDefault="006F78E2" w:rsidP="00230177">
            <w:r>
              <w:t xml:space="preserve">     </w:t>
            </w:r>
            <w:r w:rsidR="001D1B3E">
              <w:t xml:space="preserve">      </w:t>
            </w:r>
            <w:r w:rsidR="006B5313">
              <w:t>3</w:t>
            </w:r>
            <w:r w:rsidR="001D1B3E">
              <w:t>9</w:t>
            </w:r>
            <w:r w:rsidR="00C74AE4">
              <w:t>6</w:t>
            </w:r>
          </w:p>
        </w:tc>
      </w:tr>
      <w:tr w:rsidR="00F71C29" w14:paraId="0EB71563" w14:textId="77777777" w:rsidTr="00F71C29">
        <w:tc>
          <w:tcPr>
            <w:tcW w:w="1939" w:type="dxa"/>
          </w:tcPr>
          <w:p w14:paraId="576A6A72" w14:textId="77777777" w:rsidR="00F71C29" w:rsidRDefault="00F71C29" w:rsidP="00230177"/>
        </w:tc>
        <w:tc>
          <w:tcPr>
            <w:tcW w:w="1918" w:type="dxa"/>
          </w:tcPr>
          <w:p w14:paraId="28828410" w14:textId="77777777" w:rsidR="00F71C29" w:rsidRDefault="00F71C29" w:rsidP="00230177"/>
        </w:tc>
        <w:tc>
          <w:tcPr>
            <w:tcW w:w="1735" w:type="dxa"/>
          </w:tcPr>
          <w:p w14:paraId="32111BD3" w14:textId="77777777" w:rsidR="00F71C29" w:rsidRDefault="00F71C29" w:rsidP="00230177"/>
        </w:tc>
        <w:tc>
          <w:tcPr>
            <w:tcW w:w="1735" w:type="dxa"/>
          </w:tcPr>
          <w:p w14:paraId="55654877" w14:textId="77777777" w:rsidR="00F71C29" w:rsidRDefault="00F71C29" w:rsidP="00230177"/>
        </w:tc>
        <w:tc>
          <w:tcPr>
            <w:tcW w:w="1735" w:type="dxa"/>
          </w:tcPr>
          <w:p w14:paraId="2999DCC4" w14:textId="77777777" w:rsidR="00F71C29" w:rsidRDefault="00F71C29" w:rsidP="00230177"/>
        </w:tc>
      </w:tr>
    </w:tbl>
    <w:p w14:paraId="009F423F" w14:textId="77777777" w:rsidR="00753014" w:rsidRDefault="00753014" w:rsidP="008E5B0B"/>
    <w:p w14:paraId="3000762D" w14:textId="477DCFFA" w:rsidR="008E5B0B" w:rsidRDefault="00624196" w:rsidP="006B5313">
      <w:pPr>
        <w:pStyle w:val="Nadpis2"/>
      </w:pPr>
      <w:r>
        <w:t>Derivátové obchody</w:t>
      </w:r>
    </w:p>
    <w:p w14:paraId="1CC268B4" w14:textId="77777777" w:rsidR="00624196" w:rsidRDefault="00624196" w:rsidP="00624196"/>
    <w:p w14:paraId="69377863" w14:textId="4488BF05" w:rsidR="00624196" w:rsidRDefault="00624196" w:rsidP="00A45D44">
      <w:r>
        <w:t>Účetní jednotka využívá měnové forwardy pro zajištění kurzu nakupovaných devizových prostředků.</w:t>
      </w:r>
    </w:p>
    <w:p w14:paraId="4D14ECB2" w14:textId="77777777" w:rsidR="004436CE" w:rsidRPr="00624196" w:rsidRDefault="004436CE" w:rsidP="00624196">
      <w:pPr>
        <w:ind w:left="360"/>
      </w:pPr>
    </w:p>
    <w:p w14:paraId="1012543F" w14:textId="77777777" w:rsidR="006B18F1" w:rsidRDefault="00691129">
      <w:pPr>
        <w:pStyle w:val="Nadpis1"/>
      </w:pPr>
      <w:bookmarkStart w:id="41" w:name="_Toc438216077"/>
      <w:bookmarkStart w:id="42" w:name="_Toc438557609"/>
      <w:r>
        <w:t>Odložená daň na konci účetního období a její vývoj</w:t>
      </w:r>
      <w:bookmarkEnd w:id="41"/>
      <w:bookmarkEnd w:id="42"/>
    </w:p>
    <w:p w14:paraId="2A36A60B" w14:textId="77777777" w:rsidR="006B18F1" w:rsidRDefault="006B18F1">
      <w:pPr>
        <w:spacing w:after="0"/>
      </w:pPr>
    </w:p>
    <w:p w14:paraId="0D8CAD78" w14:textId="77777777" w:rsidR="006B18F1" w:rsidRDefault="00624196" w:rsidP="00624196">
      <w:pPr>
        <w:spacing w:after="0"/>
        <w:ind w:left="360"/>
      </w:pPr>
      <w:r>
        <w:t>Účetní jednotka o odložené dani neúčtuje.</w:t>
      </w:r>
    </w:p>
    <w:p w14:paraId="17307722" w14:textId="77777777" w:rsidR="006B18F1" w:rsidRDefault="006B18F1">
      <w:pPr>
        <w:spacing w:after="0"/>
      </w:pPr>
    </w:p>
    <w:p w14:paraId="3957192F" w14:textId="77777777" w:rsidR="006B18F1" w:rsidRDefault="00691129">
      <w:pPr>
        <w:pStyle w:val="Nadpis1"/>
      </w:pPr>
      <w:bookmarkStart w:id="43" w:name="_Toc438216078"/>
      <w:bookmarkStart w:id="44" w:name="_Toc438557610"/>
      <w:r>
        <w:t>Povaha a obchodní účel operací účetní jednotky, které nejsou zahrnuty v rozvaze a jejich finanční dopad na účetní jednotku</w:t>
      </w:r>
      <w:bookmarkEnd w:id="43"/>
      <w:bookmarkEnd w:id="44"/>
    </w:p>
    <w:p w14:paraId="5D6E0500" w14:textId="77777777" w:rsidR="006B18F1" w:rsidRDefault="006B18F1">
      <w:pPr>
        <w:spacing w:after="0"/>
      </w:pPr>
    </w:p>
    <w:p w14:paraId="60C2C48A" w14:textId="77777777" w:rsidR="006B18F1" w:rsidRDefault="00624196" w:rsidP="00624196">
      <w:pPr>
        <w:spacing w:after="0"/>
        <w:ind w:left="360"/>
      </w:pPr>
      <w:r>
        <w:t>Účetní jednotka nemá žádné operace nezahrnuté v rozvaze.</w:t>
      </w:r>
    </w:p>
    <w:p w14:paraId="708E4B2D" w14:textId="77777777" w:rsidR="006B18F1" w:rsidRDefault="006B18F1">
      <w:pPr>
        <w:spacing w:after="0"/>
      </w:pPr>
    </w:p>
    <w:p w14:paraId="1DE6FF5A" w14:textId="77777777" w:rsidR="006B18F1" w:rsidRDefault="00691129">
      <w:pPr>
        <w:pStyle w:val="Nadpis1"/>
      </w:pPr>
      <w:bookmarkStart w:id="45" w:name="_Toc438216079"/>
      <w:bookmarkStart w:id="46" w:name="_Toc438557611"/>
      <w:r>
        <w:t>Informace o transakcích uzavřených se spřízněnou stranou</w:t>
      </w:r>
      <w:bookmarkEnd w:id="45"/>
      <w:bookmarkEnd w:id="46"/>
    </w:p>
    <w:p w14:paraId="41DED8DE" w14:textId="77777777" w:rsidR="006B18F1" w:rsidRDefault="006B18F1">
      <w:pPr>
        <w:spacing w:after="0"/>
      </w:pPr>
    </w:p>
    <w:p w14:paraId="1D3286D4" w14:textId="77777777" w:rsidR="006B18F1" w:rsidRDefault="00213208" w:rsidP="00213208">
      <w:pPr>
        <w:spacing w:after="0"/>
        <w:ind w:left="360"/>
      </w:pPr>
      <w:r>
        <w:t>Účetní jednotka má transakce pouze obchodního rázu s dceřinými společnostmi. Při obchodování používá ceny obvyklé. Ze vztahů uzavřených se spřízněnými stranami nemáme žádné výhody ani nevýhody. Tyto vztahy máme jako s ostatními obchodními partnery.</w:t>
      </w:r>
    </w:p>
    <w:p w14:paraId="4C6D8ADF" w14:textId="77777777" w:rsidR="006B18F1" w:rsidRDefault="006B18F1">
      <w:pPr>
        <w:spacing w:after="0"/>
      </w:pPr>
    </w:p>
    <w:p w14:paraId="217559AA" w14:textId="77777777" w:rsidR="006B18F1" w:rsidRDefault="00691129">
      <w:pPr>
        <w:pStyle w:val="Nadpis1"/>
      </w:pPr>
      <w:bookmarkStart w:id="47" w:name="_Toc438216082"/>
      <w:bookmarkStart w:id="48" w:name="_Toc438557612"/>
      <w:r>
        <w:t>Významné události mezi rozvahovým dnem a okamžikem sestavení účetní závěrky</w:t>
      </w:r>
      <w:bookmarkEnd w:id="47"/>
      <w:bookmarkEnd w:id="48"/>
    </w:p>
    <w:p w14:paraId="2DFDA1A1" w14:textId="77777777" w:rsidR="006B18F1" w:rsidRDefault="006B18F1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62E7347" w14:textId="77777777" w:rsidR="00213208" w:rsidRDefault="00213208" w:rsidP="00213208">
      <w:pPr>
        <w:autoSpaceDE w:val="0"/>
        <w:spacing w:after="0" w:line="24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Mezi rozvahovým dnem a okamžikem sestavení účetní závěrky neproběhly žádné významné události.</w:t>
      </w:r>
    </w:p>
    <w:p w14:paraId="6F096A2B" w14:textId="77777777" w:rsidR="00213208" w:rsidRDefault="00213208" w:rsidP="00213208">
      <w:pPr>
        <w:autoSpaceDE w:val="0"/>
        <w:spacing w:after="0" w:line="240" w:lineRule="auto"/>
        <w:ind w:left="360"/>
        <w:jc w:val="both"/>
        <w:rPr>
          <w:rFonts w:cs="Calibri"/>
          <w:bCs/>
        </w:rPr>
      </w:pPr>
    </w:p>
    <w:p w14:paraId="5CDBF838" w14:textId="77777777" w:rsidR="00213208" w:rsidRDefault="00213208" w:rsidP="00213208">
      <w:pPr>
        <w:autoSpaceDE w:val="0"/>
        <w:spacing w:after="0" w:line="240" w:lineRule="auto"/>
        <w:ind w:left="360"/>
        <w:jc w:val="both"/>
        <w:rPr>
          <w:rFonts w:cs="Calibri"/>
          <w:bCs/>
        </w:rPr>
      </w:pPr>
    </w:p>
    <w:p w14:paraId="7DCE6AB6" w14:textId="77777777" w:rsidR="00213208" w:rsidRDefault="00213208" w:rsidP="00213208">
      <w:pPr>
        <w:pStyle w:val="Nadpis1"/>
      </w:pPr>
      <w:r>
        <w:t>Informace o trvání účetní jednotky</w:t>
      </w:r>
    </w:p>
    <w:p w14:paraId="72E0B74F" w14:textId="77777777" w:rsidR="00213208" w:rsidRDefault="00213208" w:rsidP="00213208"/>
    <w:p w14:paraId="31E540D2" w14:textId="4F08A569" w:rsidR="00213208" w:rsidRDefault="006E613B" w:rsidP="00213208">
      <w:r>
        <w:t xml:space="preserve">    </w:t>
      </w:r>
      <w:r w:rsidR="00213208">
        <w:t>Předpoklad nepřetržitého pokračování činnosti účetní jednotky byl v účetnictví účetní jednotky použit a ke dni zpracování účetní závěrky nejsou známy žádné informace, které by nasvědčovali tomu, že účetní jednotka nemusí být schopna nepřetržitě pokračovat ve své činnosti a že v důsledku toho by byla ohrožena schopnost plnit své závazky.</w:t>
      </w:r>
    </w:p>
    <w:p w14:paraId="42F47A27" w14:textId="1AC2CCF4" w:rsidR="0028221A" w:rsidRPr="00213208" w:rsidRDefault="004534B6" w:rsidP="00213208">
      <w:r>
        <w:t xml:space="preserve">V současné době se dá z účetnictví firmy předpokládat, že účetní jednotka je schopna nepřetržitě pokračovat </w:t>
      </w:r>
      <w:r w:rsidR="0009658A">
        <w:t>v</w:t>
      </w:r>
      <w:r>
        <w:t xml:space="preserve"> ekonomick</w:t>
      </w:r>
      <w:r w:rsidR="0009658A">
        <w:t>é</w:t>
      </w:r>
      <w:r>
        <w:t xml:space="preserve"> činnost</w:t>
      </w:r>
      <w:r w:rsidR="0009658A">
        <w:t>i</w:t>
      </w:r>
      <w:r>
        <w:t xml:space="preserve"> v roce 202</w:t>
      </w:r>
      <w:r w:rsidR="00C74AE4">
        <w:t>5</w:t>
      </w:r>
      <w:r>
        <w:t>.</w:t>
      </w:r>
    </w:p>
    <w:p w14:paraId="14EC9D5D" w14:textId="1F6AFAF4" w:rsidR="004534B6" w:rsidRDefault="004534B6" w:rsidP="004534B6">
      <w:pPr>
        <w:pStyle w:val="Nadpis1"/>
      </w:pPr>
      <w:r>
        <w:t xml:space="preserve">Jiné informace </w:t>
      </w:r>
    </w:p>
    <w:p w14:paraId="662A361C" w14:textId="77777777" w:rsidR="00872392" w:rsidRPr="00872392" w:rsidRDefault="00872392" w:rsidP="00872392"/>
    <w:p w14:paraId="289DA9C1" w14:textId="43860FD4" w:rsidR="00872392" w:rsidRDefault="004534B6" w:rsidP="004534B6">
      <w:r>
        <w:t>Příloha obsahuje údaje dle vyhlášky č. 500/2002 Sb., pro které je obsahová náplň.</w:t>
      </w:r>
    </w:p>
    <w:p w14:paraId="2508AFBE" w14:textId="091A1322" w:rsidR="00872392" w:rsidRDefault="00872392">
      <w:pPr>
        <w:autoSpaceDE w:val="0"/>
        <w:spacing w:after="0" w:line="240" w:lineRule="auto"/>
        <w:rPr>
          <w:rFonts w:cs="Calibri"/>
          <w:bCs/>
        </w:rPr>
      </w:pPr>
    </w:p>
    <w:p w14:paraId="485CAE08" w14:textId="77777777" w:rsidR="00872392" w:rsidRDefault="00872392">
      <w:pPr>
        <w:autoSpaceDE w:val="0"/>
        <w:spacing w:after="0" w:line="240" w:lineRule="auto"/>
        <w:rPr>
          <w:rFonts w:cs="Calibri"/>
          <w:bCs/>
        </w:rPr>
      </w:pPr>
    </w:p>
    <w:p w14:paraId="3D8043E0" w14:textId="38735431" w:rsidR="006B18F1" w:rsidRDefault="00691129">
      <w:pPr>
        <w:autoSpaceDE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 xml:space="preserve">Sestaveno dne: </w:t>
      </w:r>
      <w:r w:rsidR="00C74AE4">
        <w:rPr>
          <w:rFonts w:cs="Calibri"/>
          <w:bCs/>
        </w:rPr>
        <w:t>2</w:t>
      </w:r>
      <w:r w:rsidR="000F4644">
        <w:rPr>
          <w:rFonts w:cs="Calibri"/>
          <w:bCs/>
        </w:rPr>
        <w:t>6</w:t>
      </w:r>
      <w:r>
        <w:rPr>
          <w:rFonts w:cs="Calibri"/>
          <w:bCs/>
        </w:rPr>
        <w:t>.</w:t>
      </w:r>
      <w:r w:rsidR="00C74AE4">
        <w:rPr>
          <w:rFonts w:cs="Calibri"/>
          <w:bCs/>
        </w:rPr>
        <w:t>05</w:t>
      </w:r>
      <w:r>
        <w:rPr>
          <w:rFonts w:cs="Calibri"/>
          <w:bCs/>
        </w:rPr>
        <w:t>.202</w:t>
      </w:r>
      <w:r w:rsidR="00C74AE4">
        <w:rPr>
          <w:rFonts w:cs="Calibri"/>
          <w:bCs/>
        </w:rPr>
        <w:t>5</w:t>
      </w:r>
    </w:p>
    <w:p w14:paraId="7CB8AEA8" w14:textId="2BB3412B" w:rsidR="006B18F1" w:rsidRDefault="00691129">
      <w:pPr>
        <w:autoSpaceDE w:val="0"/>
        <w:spacing w:after="0" w:line="240" w:lineRule="auto"/>
      </w:pPr>
      <w:r>
        <w:rPr>
          <w:rFonts w:cs="Calibri"/>
          <w:bCs/>
        </w:rPr>
        <w:t>Sestavil</w:t>
      </w:r>
      <w:r w:rsidR="004534B6">
        <w:rPr>
          <w:rFonts w:cs="Calibri"/>
          <w:bCs/>
        </w:rPr>
        <w:t xml:space="preserve">a: </w:t>
      </w:r>
      <w:r w:rsidR="000F4644">
        <w:rPr>
          <w:rFonts w:cs="Calibri"/>
          <w:bCs/>
        </w:rPr>
        <w:t>Pavlína Sedliská</w:t>
      </w:r>
      <w:r w:rsidR="004534B6">
        <w:rPr>
          <w:rFonts w:cs="Calibri"/>
          <w:bCs/>
        </w:rPr>
        <w:tab/>
      </w:r>
      <w:r w:rsidR="004534B6">
        <w:rPr>
          <w:rFonts w:cs="Calibri"/>
          <w:bCs/>
        </w:rPr>
        <w:tab/>
      </w:r>
      <w:r w:rsidR="004534B6">
        <w:rPr>
          <w:rFonts w:cs="Calibri"/>
          <w:bCs/>
        </w:rPr>
        <w:tab/>
        <w:t>Schválil: Mgr. Ondřej Johanovský</w:t>
      </w:r>
    </w:p>
    <w:sectPr w:rsidR="006B18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728D3" w14:textId="77777777" w:rsidR="00A11A91" w:rsidRDefault="00A11A91">
      <w:pPr>
        <w:spacing w:after="0" w:line="240" w:lineRule="auto"/>
      </w:pPr>
      <w:r>
        <w:separator/>
      </w:r>
    </w:p>
  </w:endnote>
  <w:endnote w:type="continuationSeparator" w:id="0">
    <w:p w14:paraId="26E56F1B" w14:textId="77777777" w:rsidR="00A11A91" w:rsidRDefault="00A1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4F1F" w14:textId="77777777" w:rsidR="00F71C29" w:rsidRDefault="00F71C29">
    <w:pPr>
      <w:pStyle w:val="Zpat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</w:p>
  <w:p w14:paraId="554C213E" w14:textId="77777777" w:rsidR="00F71C29" w:rsidRDefault="00F71C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36AC" w14:textId="77777777" w:rsidR="00A11A91" w:rsidRDefault="00A11A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40B64A" w14:textId="77777777" w:rsidR="00A11A91" w:rsidRDefault="00A1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A6C7" w14:textId="413131A4" w:rsidR="00F71C29" w:rsidRDefault="002D0727" w:rsidP="002D0727">
    <w:pPr>
      <w:pStyle w:val="Zhlav"/>
      <w:tabs>
        <w:tab w:val="left" w:pos="1350"/>
        <w:tab w:val="left" w:pos="2580"/>
        <w:tab w:val="left" w:pos="2985"/>
      </w:tabs>
      <w:spacing w:after="120" w:line="276" w:lineRule="auto"/>
    </w:pP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="00F71C29">
      <w:rPr>
        <w:b/>
        <w:bCs/>
        <w:sz w:val="18"/>
        <w:szCs w:val="18"/>
      </w:rPr>
      <w:t>Příloha v účetní závěrce v plném rozsahu</w:t>
    </w:r>
  </w:p>
  <w:p w14:paraId="34B1FE54" w14:textId="77777777" w:rsidR="00F71C29" w:rsidRDefault="00F71C29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 xml:space="preserve">Korporace </w:t>
    </w:r>
    <w:proofErr w:type="spellStart"/>
    <w:r>
      <w:rPr>
        <w:sz w:val="18"/>
        <w:szCs w:val="18"/>
      </w:rPr>
      <w:t>HUDYsport</w:t>
    </w:r>
    <w:proofErr w:type="spellEnd"/>
    <w:r>
      <w:rPr>
        <w:sz w:val="18"/>
        <w:szCs w:val="18"/>
      </w:rPr>
      <w:t xml:space="preserve"> a.s.</w:t>
    </w:r>
  </w:p>
  <w:p w14:paraId="2B76B4C8" w14:textId="2110D6AE" w:rsidR="00F71C29" w:rsidRDefault="00F71C29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>ke dni 31.12.2</w:t>
    </w:r>
    <w:r w:rsidR="005F64E1">
      <w:rPr>
        <w:sz w:val="18"/>
        <w:szCs w:val="18"/>
      </w:rPr>
      <w:t>024</w:t>
    </w:r>
  </w:p>
  <w:p w14:paraId="04023573" w14:textId="77777777" w:rsidR="00F71C29" w:rsidRDefault="00F71C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0E4"/>
    <w:multiLevelType w:val="multilevel"/>
    <w:tmpl w:val="A02E82AC"/>
    <w:styleLink w:val="Outlin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D1C0CBA"/>
    <w:multiLevelType w:val="multilevel"/>
    <w:tmpl w:val="E6341906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E12757D"/>
    <w:multiLevelType w:val="multilevel"/>
    <w:tmpl w:val="04E871AE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E79786E"/>
    <w:multiLevelType w:val="multilevel"/>
    <w:tmpl w:val="EDB86F7E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6D65AD"/>
    <w:multiLevelType w:val="multilevel"/>
    <w:tmpl w:val="F146ACBC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6254C03"/>
    <w:multiLevelType w:val="multilevel"/>
    <w:tmpl w:val="8B2808B2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B7A4815"/>
    <w:multiLevelType w:val="multilevel"/>
    <w:tmpl w:val="0164A862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B9F4DA6"/>
    <w:multiLevelType w:val="hybridMultilevel"/>
    <w:tmpl w:val="83723A60"/>
    <w:lvl w:ilvl="0" w:tplc="15F2610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E0EF1"/>
    <w:multiLevelType w:val="multilevel"/>
    <w:tmpl w:val="BA70CB38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1241D89"/>
    <w:multiLevelType w:val="multilevel"/>
    <w:tmpl w:val="A7B2E098"/>
    <w:styleLink w:val="WWOutlineListStyle31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223A445B"/>
    <w:multiLevelType w:val="hybridMultilevel"/>
    <w:tmpl w:val="ED2A131E"/>
    <w:lvl w:ilvl="0" w:tplc="26FE5F1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B0CA1"/>
    <w:multiLevelType w:val="multilevel"/>
    <w:tmpl w:val="3D881296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4340518"/>
    <w:multiLevelType w:val="multilevel"/>
    <w:tmpl w:val="123E2396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28CF3CE4"/>
    <w:multiLevelType w:val="multilevel"/>
    <w:tmpl w:val="4E06BF34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D137038"/>
    <w:multiLevelType w:val="multilevel"/>
    <w:tmpl w:val="BF7A1D08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3631398"/>
    <w:multiLevelType w:val="multilevel"/>
    <w:tmpl w:val="BA0A86D0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4334673"/>
    <w:multiLevelType w:val="multilevel"/>
    <w:tmpl w:val="C074953A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34777AA5"/>
    <w:multiLevelType w:val="multilevel"/>
    <w:tmpl w:val="BEAEA1FC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3576219F"/>
    <w:multiLevelType w:val="multilevel"/>
    <w:tmpl w:val="2E90A0D0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369523C7"/>
    <w:multiLevelType w:val="multilevel"/>
    <w:tmpl w:val="97B2239C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3A231398"/>
    <w:multiLevelType w:val="multilevel"/>
    <w:tmpl w:val="DBA87FA6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467B1B5F"/>
    <w:multiLevelType w:val="multilevel"/>
    <w:tmpl w:val="72AE0A98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6C41761"/>
    <w:multiLevelType w:val="multilevel"/>
    <w:tmpl w:val="433A674A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4CC85112"/>
    <w:multiLevelType w:val="multilevel"/>
    <w:tmpl w:val="DE3AE54A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4DD64C7E"/>
    <w:multiLevelType w:val="multilevel"/>
    <w:tmpl w:val="68C01560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4E3E6BEE"/>
    <w:multiLevelType w:val="multilevel"/>
    <w:tmpl w:val="C93EE616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A6E07C9"/>
    <w:multiLevelType w:val="hybridMultilevel"/>
    <w:tmpl w:val="7DD4A738"/>
    <w:lvl w:ilvl="0" w:tplc="3184FB5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7" w15:restartNumberingAfterBreak="0">
    <w:nsid w:val="5A815FC4"/>
    <w:multiLevelType w:val="multilevel"/>
    <w:tmpl w:val="5AD63FBC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5BC86160"/>
    <w:multiLevelType w:val="multilevel"/>
    <w:tmpl w:val="C2F81C2E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5DB360A6"/>
    <w:multiLevelType w:val="multilevel"/>
    <w:tmpl w:val="0BC4D9E8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62B4639D"/>
    <w:multiLevelType w:val="multilevel"/>
    <w:tmpl w:val="B7AA8022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45E34A1"/>
    <w:multiLevelType w:val="multilevel"/>
    <w:tmpl w:val="63BA500C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679D3D0C"/>
    <w:multiLevelType w:val="multilevel"/>
    <w:tmpl w:val="8D1C16C0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82824A2"/>
    <w:multiLevelType w:val="multilevel"/>
    <w:tmpl w:val="271A7BCE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9BE5B45"/>
    <w:multiLevelType w:val="hybridMultilevel"/>
    <w:tmpl w:val="6E74E79E"/>
    <w:lvl w:ilvl="0" w:tplc="7B2CCAF2">
      <w:start w:val="14"/>
      <w:numFmt w:val="bullet"/>
      <w:lvlText w:val="-"/>
      <w:lvlJc w:val="left"/>
      <w:pPr>
        <w:ind w:left="98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5" w15:restartNumberingAfterBreak="0">
    <w:nsid w:val="70D8635A"/>
    <w:multiLevelType w:val="multilevel"/>
    <w:tmpl w:val="8E748B2A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7DCC4B2E"/>
    <w:multiLevelType w:val="hybridMultilevel"/>
    <w:tmpl w:val="1742ACA8"/>
    <w:lvl w:ilvl="0" w:tplc="0A9A0B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010DA"/>
    <w:multiLevelType w:val="hybridMultilevel"/>
    <w:tmpl w:val="DD48A6C0"/>
    <w:lvl w:ilvl="0" w:tplc="34785E16">
      <w:start w:val="14"/>
      <w:numFmt w:val="bullet"/>
      <w:lvlText w:val="-"/>
      <w:lvlJc w:val="left"/>
      <w:pPr>
        <w:ind w:left="98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8" w15:restartNumberingAfterBreak="0">
    <w:nsid w:val="7E2F2B2B"/>
    <w:multiLevelType w:val="multilevel"/>
    <w:tmpl w:val="98964CDC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87498495">
    <w:abstractNumId w:val="9"/>
  </w:num>
  <w:num w:numId="2" w16cid:durableId="576869104">
    <w:abstractNumId w:val="35"/>
  </w:num>
  <w:num w:numId="3" w16cid:durableId="1968777945">
    <w:abstractNumId w:val="16"/>
  </w:num>
  <w:num w:numId="4" w16cid:durableId="2009286097">
    <w:abstractNumId w:val="6"/>
  </w:num>
  <w:num w:numId="5" w16cid:durableId="2081556988">
    <w:abstractNumId w:val="18"/>
  </w:num>
  <w:num w:numId="6" w16cid:durableId="254168143">
    <w:abstractNumId w:val="30"/>
  </w:num>
  <w:num w:numId="7" w16cid:durableId="839737759">
    <w:abstractNumId w:val="1"/>
  </w:num>
  <w:num w:numId="8" w16cid:durableId="2010861539">
    <w:abstractNumId w:val="8"/>
  </w:num>
  <w:num w:numId="9" w16cid:durableId="890842481">
    <w:abstractNumId w:val="25"/>
  </w:num>
  <w:num w:numId="10" w16cid:durableId="356540998">
    <w:abstractNumId w:val="17"/>
  </w:num>
  <w:num w:numId="11" w16cid:durableId="33040890">
    <w:abstractNumId w:val="29"/>
  </w:num>
  <w:num w:numId="12" w16cid:durableId="214973122">
    <w:abstractNumId w:val="3"/>
  </w:num>
  <w:num w:numId="13" w16cid:durableId="635984842">
    <w:abstractNumId w:val="33"/>
  </w:num>
  <w:num w:numId="14" w16cid:durableId="1737318742">
    <w:abstractNumId w:val="5"/>
  </w:num>
  <w:num w:numId="15" w16cid:durableId="2051419354">
    <w:abstractNumId w:val="32"/>
  </w:num>
  <w:num w:numId="16" w16cid:durableId="1296913846">
    <w:abstractNumId w:val="0"/>
  </w:num>
  <w:num w:numId="17" w16cid:durableId="1200897403">
    <w:abstractNumId w:val="24"/>
  </w:num>
  <w:num w:numId="18" w16cid:durableId="605237468">
    <w:abstractNumId w:val="15"/>
  </w:num>
  <w:num w:numId="19" w16cid:durableId="2134983322">
    <w:abstractNumId w:val="20"/>
  </w:num>
  <w:num w:numId="20" w16cid:durableId="855114529">
    <w:abstractNumId w:val="21"/>
  </w:num>
  <w:num w:numId="21" w16cid:durableId="1698577546">
    <w:abstractNumId w:val="31"/>
  </w:num>
  <w:num w:numId="22" w16cid:durableId="437722975">
    <w:abstractNumId w:val="12"/>
  </w:num>
  <w:num w:numId="23" w16cid:durableId="1731659713">
    <w:abstractNumId w:val="28"/>
  </w:num>
  <w:num w:numId="24" w16cid:durableId="1478958082">
    <w:abstractNumId w:val="23"/>
  </w:num>
  <w:num w:numId="25" w16cid:durableId="435759649">
    <w:abstractNumId w:val="38"/>
  </w:num>
  <w:num w:numId="26" w16cid:durableId="108548609">
    <w:abstractNumId w:val="2"/>
  </w:num>
  <w:num w:numId="27" w16cid:durableId="501625360">
    <w:abstractNumId w:val="27"/>
  </w:num>
  <w:num w:numId="28" w16cid:durableId="1338314046">
    <w:abstractNumId w:val="19"/>
  </w:num>
  <w:num w:numId="29" w16cid:durableId="1504082212">
    <w:abstractNumId w:val="22"/>
  </w:num>
  <w:num w:numId="30" w16cid:durableId="1491554718">
    <w:abstractNumId w:val="4"/>
  </w:num>
  <w:num w:numId="31" w16cid:durableId="96098133">
    <w:abstractNumId w:val="14"/>
  </w:num>
  <w:num w:numId="32" w16cid:durableId="1821536055">
    <w:abstractNumId w:val="11"/>
  </w:num>
  <w:num w:numId="33" w16cid:durableId="1198547171">
    <w:abstractNumId w:val="13"/>
  </w:num>
  <w:num w:numId="34" w16cid:durableId="117800765">
    <w:abstractNumId w:val="37"/>
  </w:num>
  <w:num w:numId="35" w16cid:durableId="1006328788">
    <w:abstractNumId w:val="34"/>
  </w:num>
  <w:num w:numId="36" w16cid:durableId="212041493">
    <w:abstractNumId w:val="26"/>
  </w:num>
  <w:num w:numId="37" w16cid:durableId="1770199906">
    <w:abstractNumId w:val="36"/>
  </w:num>
  <w:num w:numId="38" w16cid:durableId="1396333">
    <w:abstractNumId w:val="10"/>
  </w:num>
  <w:num w:numId="39" w16cid:durableId="1314140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F1"/>
    <w:rsid w:val="00011C78"/>
    <w:rsid w:val="0002149E"/>
    <w:rsid w:val="00033478"/>
    <w:rsid w:val="000561EC"/>
    <w:rsid w:val="000713F7"/>
    <w:rsid w:val="0007797C"/>
    <w:rsid w:val="00077CA0"/>
    <w:rsid w:val="00093734"/>
    <w:rsid w:val="0009658A"/>
    <w:rsid w:val="00097A74"/>
    <w:rsid w:val="000F4644"/>
    <w:rsid w:val="000F4788"/>
    <w:rsid w:val="000F62F8"/>
    <w:rsid w:val="00127BF2"/>
    <w:rsid w:val="001315C1"/>
    <w:rsid w:val="00135E0A"/>
    <w:rsid w:val="001478A7"/>
    <w:rsid w:val="00163727"/>
    <w:rsid w:val="001668D9"/>
    <w:rsid w:val="001771C4"/>
    <w:rsid w:val="001957B7"/>
    <w:rsid w:val="001A50BD"/>
    <w:rsid w:val="001C6DCD"/>
    <w:rsid w:val="001D0099"/>
    <w:rsid w:val="001D1B3E"/>
    <w:rsid w:val="001D2E7D"/>
    <w:rsid w:val="00213208"/>
    <w:rsid w:val="00224531"/>
    <w:rsid w:val="00230177"/>
    <w:rsid w:val="0025163E"/>
    <w:rsid w:val="00262453"/>
    <w:rsid w:val="00266078"/>
    <w:rsid w:val="00271BC6"/>
    <w:rsid w:val="0027646A"/>
    <w:rsid w:val="0028221A"/>
    <w:rsid w:val="00296FEF"/>
    <w:rsid w:val="002B6448"/>
    <w:rsid w:val="002D0727"/>
    <w:rsid w:val="002E3B1B"/>
    <w:rsid w:val="003458EE"/>
    <w:rsid w:val="00354AA4"/>
    <w:rsid w:val="00355106"/>
    <w:rsid w:val="00356AEF"/>
    <w:rsid w:val="00386BF0"/>
    <w:rsid w:val="00391D62"/>
    <w:rsid w:val="003937CD"/>
    <w:rsid w:val="003A6D61"/>
    <w:rsid w:val="003F232E"/>
    <w:rsid w:val="003F513C"/>
    <w:rsid w:val="00425C35"/>
    <w:rsid w:val="004370D3"/>
    <w:rsid w:val="00440DCA"/>
    <w:rsid w:val="004436CE"/>
    <w:rsid w:val="00451908"/>
    <w:rsid w:val="004534B6"/>
    <w:rsid w:val="00456E0F"/>
    <w:rsid w:val="00472C11"/>
    <w:rsid w:val="00486F8B"/>
    <w:rsid w:val="0049559E"/>
    <w:rsid w:val="004C39A7"/>
    <w:rsid w:val="004C4AE2"/>
    <w:rsid w:val="004C7B19"/>
    <w:rsid w:val="004D3875"/>
    <w:rsid w:val="004E1DFD"/>
    <w:rsid w:val="00527186"/>
    <w:rsid w:val="00527C39"/>
    <w:rsid w:val="005359DA"/>
    <w:rsid w:val="00535F65"/>
    <w:rsid w:val="00550BEE"/>
    <w:rsid w:val="00551B6E"/>
    <w:rsid w:val="005579D7"/>
    <w:rsid w:val="00562AE4"/>
    <w:rsid w:val="00563882"/>
    <w:rsid w:val="005B10FB"/>
    <w:rsid w:val="005D6707"/>
    <w:rsid w:val="005F64E1"/>
    <w:rsid w:val="00624196"/>
    <w:rsid w:val="006556D3"/>
    <w:rsid w:val="00670383"/>
    <w:rsid w:val="00673241"/>
    <w:rsid w:val="0068707D"/>
    <w:rsid w:val="00691129"/>
    <w:rsid w:val="006B18F1"/>
    <w:rsid w:val="006B46FD"/>
    <w:rsid w:val="006B5313"/>
    <w:rsid w:val="006D6CE8"/>
    <w:rsid w:val="006E04A0"/>
    <w:rsid w:val="006E613B"/>
    <w:rsid w:val="006F78E2"/>
    <w:rsid w:val="00716DD2"/>
    <w:rsid w:val="00733DC2"/>
    <w:rsid w:val="00753014"/>
    <w:rsid w:val="00755087"/>
    <w:rsid w:val="0075749C"/>
    <w:rsid w:val="00793E8D"/>
    <w:rsid w:val="007C11D7"/>
    <w:rsid w:val="007D2263"/>
    <w:rsid w:val="007D7C49"/>
    <w:rsid w:val="007E4E89"/>
    <w:rsid w:val="00817813"/>
    <w:rsid w:val="00857F6D"/>
    <w:rsid w:val="00872392"/>
    <w:rsid w:val="00880023"/>
    <w:rsid w:val="008818CC"/>
    <w:rsid w:val="00892C3D"/>
    <w:rsid w:val="008A5595"/>
    <w:rsid w:val="008D7557"/>
    <w:rsid w:val="008E2689"/>
    <w:rsid w:val="008E5B0B"/>
    <w:rsid w:val="008F312B"/>
    <w:rsid w:val="00920A57"/>
    <w:rsid w:val="0093698F"/>
    <w:rsid w:val="00940292"/>
    <w:rsid w:val="0095508D"/>
    <w:rsid w:val="009A13E2"/>
    <w:rsid w:val="009B6FA6"/>
    <w:rsid w:val="009E0030"/>
    <w:rsid w:val="00A11A91"/>
    <w:rsid w:val="00A126CA"/>
    <w:rsid w:val="00A3069F"/>
    <w:rsid w:val="00A37671"/>
    <w:rsid w:val="00A40A99"/>
    <w:rsid w:val="00A45D44"/>
    <w:rsid w:val="00A51066"/>
    <w:rsid w:val="00A571DD"/>
    <w:rsid w:val="00A65BE4"/>
    <w:rsid w:val="00A724B8"/>
    <w:rsid w:val="00A77116"/>
    <w:rsid w:val="00AB27F6"/>
    <w:rsid w:val="00AC4A6F"/>
    <w:rsid w:val="00AC6207"/>
    <w:rsid w:val="00AE7248"/>
    <w:rsid w:val="00B03540"/>
    <w:rsid w:val="00B07C3A"/>
    <w:rsid w:val="00B411CC"/>
    <w:rsid w:val="00B55B7D"/>
    <w:rsid w:val="00B577D0"/>
    <w:rsid w:val="00B67427"/>
    <w:rsid w:val="00B7048D"/>
    <w:rsid w:val="00B74CDB"/>
    <w:rsid w:val="00B94E60"/>
    <w:rsid w:val="00BA2DE4"/>
    <w:rsid w:val="00BC1B7D"/>
    <w:rsid w:val="00C0709C"/>
    <w:rsid w:val="00C3350E"/>
    <w:rsid w:val="00C40EA4"/>
    <w:rsid w:val="00C74AE4"/>
    <w:rsid w:val="00CF45AF"/>
    <w:rsid w:val="00CF7711"/>
    <w:rsid w:val="00D10AA6"/>
    <w:rsid w:val="00D17980"/>
    <w:rsid w:val="00D533C2"/>
    <w:rsid w:val="00D62BE8"/>
    <w:rsid w:val="00D82A05"/>
    <w:rsid w:val="00D91C74"/>
    <w:rsid w:val="00DA73A4"/>
    <w:rsid w:val="00DF67C5"/>
    <w:rsid w:val="00E47BFC"/>
    <w:rsid w:val="00E630AC"/>
    <w:rsid w:val="00E7350A"/>
    <w:rsid w:val="00EA003A"/>
    <w:rsid w:val="00EB6DD0"/>
    <w:rsid w:val="00EC566F"/>
    <w:rsid w:val="00EF2FD2"/>
    <w:rsid w:val="00F47421"/>
    <w:rsid w:val="00F54A1E"/>
    <w:rsid w:val="00F71C29"/>
    <w:rsid w:val="00F9044C"/>
    <w:rsid w:val="00F92A2B"/>
    <w:rsid w:val="00F95211"/>
    <w:rsid w:val="00FA3DB1"/>
    <w:rsid w:val="00FA4D67"/>
    <w:rsid w:val="00FC7A76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61E6"/>
  <w15:docId w15:val="{0AFA3F57-EFCC-45E6-B127-56A8A8C3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5B0B"/>
    <w:pPr>
      <w:suppressAutoHyphens/>
    </w:pPr>
  </w:style>
  <w:style w:type="paragraph" w:styleId="Nadpis1">
    <w:name w:val="heading 1"/>
    <w:basedOn w:val="Odstavecseseznamem"/>
    <w:next w:val="Normln"/>
    <w:pPr>
      <w:numPr>
        <w:numId w:val="1"/>
      </w:numPr>
      <w:autoSpaceDE w:val="0"/>
      <w:spacing w:after="0" w:line="240" w:lineRule="auto"/>
      <w:outlineLvl w:val="0"/>
    </w:pPr>
    <w:rPr>
      <w:rFonts w:cs="Calibri"/>
      <w:b/>
      <w:bCs/>
    </w:rPr>
  </w:style>
  <w:style w:type="paragraph" w:styleId="Nadpis2">
    <w:name w:val="heading 2"/>
    <w:basedOn w:val="Odstavecseseznamem"/>
    <w:next w:val="Normln"/>
    <w:pPr>
      <w:numPr>
        <w:ilvl w:val="1"/>
        <w:numId w:val="1"/>
      </w:numPr>
      <w:autoSpaceDE w:val="0"/>
      <w:spacing w:after="0" w:line="240" w:lineRule="auto"/>
      <w:outlineLvl w:val="1"/>
    </w:pPr>
    <w:rPr>
      <w:rFonts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31">
    <w:name w:val="WW_OutlineListStyle_31"/>
    <w:basedOn w:val="Bezseznamu"/>
    <w:pPr>
      <w:numPr>
        <w:numId w:val="1"/>
      </w:numPr>
    </w:pPr>
  </w:style>
  <w:style w:type="character" w:styleId="Sledovanodkaz">
    <w:name w:val="FollowedHyperlink"/>
    <w:basedOn w:val="Standardnpsmoodstavce"/>
    <w:rPr>
      <w:color w:val="954F72"/>
      <w:u w:val="single"/>
    </w:rPr>
  </w:style>
  <w:style w:type="paragraph" w:styleId="Obsah1">
    <w:name w:val="toc 1"/>
    <w:basedOn w:val="Normln"/>
    <w:next w:val="Normln"/>
    <w:autoRedefine/>
    <w:rsid w:val="00D10AA6"/>
    <w:pPr>
      <w:tabs>
        <w:tab w:val="left" w:pos="660"/>
        <w:tab w:val="right" w:leader="dot" w:pos="9062"/>
      </w:tabs>
      <w:spacing w:after="100"/>
    </w:pPr>
    <w:rPr>
      <w:sz w:val="18"/>
      <w:szCs w:val="18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</w:pPr>
  </w:style>
  <w:style w:type="paragraph" w:styleId="Bezmezer">
    <w:name w:val="No Spacing"/>
    <w:pPr>
      <w:suppressAutoHyphens/>
      <w:spacing w:after="0" w:line="240" w:lineRule="auto"/>
    </w:pPr>
  </w:style>
  <w:style w:type="paragraph" w:customStyle="1" w:styleId="ContentsHeading">
    <w:name w:val="Contents Heading"/>
    <w:basedOn w:val="Nadpis1"/>
    <w:next w:val="Normln"/>
    <w:pPr>
      <w:keepNext/>
      <w:keepLines/>
      <w:numPr>
        <w:numId w:val="0"/>
      </w:numPr>
      <w:autoSpaceDE/>
      <w:spacing w:before="480" w:after="200" w:line="276" w:lineRule="auto"/>
    </w:pPr>
    <w:rPr>
      <w:rFonts w:ascii="Cambria" w:eastAsia="Times New Roman" w:hAnsi="Cambria" w:cs="Times New Roman"/>
      <w:color w:val="365F91"/>
      <w:sz w:val="28"/>
      <w:szCs w:val="28"/>
      <w:lang w:eastAsia="cs-CZ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ln"/>
    <w:next w:val="Normln"/>
    <w:autoRedefine/>
    <w:pPr>
      <w:tabs>
        <w:tab w:val="left" w:pos="567"/>
        <w:tab w:val="right" w:leader="dot" w:pos="9062"/>
      </w:tabs>
      <w:spacing w:after="100" w:line="240" w:lineRule="auto"/>
    </w:pPr>
    <w:rPr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cs="Calibri"/>
      <w:b/>
      <w:bCs/>
    </w:rPr>
  </w:style>
  <w:style w:type="character" w:customStyle="1" w:styleId="Nadpis2Char">
    <w:name w:val="Nadpis 2 Char"/>
    <w:basedOn w:val="Standardnpsmoodstavce"/>
    <w:rPr>
      <w:rFonts w:cs="Calibri"/>
      <w:b/>
      <w:bCs/>
    </w:rPr>
  </w:style>
  <w:style w:type="character" w:customStyle="1" w:styleId="BezmezerChar">
    <w:name w:val="Bez mezer Cha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OutlineListStyle30">
    <w:name w:val="WW_OutlineListStyle_30"/>
    <w:basedOn w:val="Bezseznamu"/>
    <w:pPr>
      <w:numPr>
        <w:numId w:val="2"/>
      </w:numPr>
    </w:pPr>
  </w:style>
  <w:style w:type="numbering" w:customStyle="1" w:styleId="WWOutlineListStyle29">
    <w:name w:val="WW_OutlineListStyle_29"/>
    <w:basedOn w:val="Bezseznamu"/>
    <w:pPr>
      <w:numPr>
        <w:numId w:val="3"/>
      </w:numPr>
    </w:pPr>
  </w:style>
  <w:style w:type="numbering" w:customStyle="1" w:styleId="WWOutlineListStyle28">
    <w:name w:val="WW_OutlineListStyle_28"/>
    <w:basedOn w:val="Bezseznamu"/>
    <w:pPr>
      <w:numPr>
        <w:numId w:val="4"/>
      </w:numPr>
    </w:pPr>
  </w:style>
  <w:style w:type="numbering" w:customStyle="1" w:styleId="WWOutlineListStyle27">
    <w:name w:val="WW_OutlineListStyle_27"/>
    <w:basedOn w:val="Bezseznamu"/>
    <w:pPr>
      <w:numPr>
        <w:numId w:val="5"/>
      </w:numPr>
    </w:pPr>
  </w:style>
  <w:style w:type="numbering" w:customStyle="1" w:styleId="WWOutlineListStyle26">
    <w:name w:val="WW_OutlineListStyle_26"/>
    <w:basedOn w:val="Bezseznamu"/>
    <w:pPr>
      <w:numPr>
        <w:numId w:val="6"/>
      </w:numPr>
    </w:pPr>
  </w:style>
  <w:style w:type="numbering" w:customStyle="1" w:styleId="WWOutlineListStyle25">
    <w:name w:val="WW_OutlineListStyle_25"/>
    <w:basedOn w:val="Bezseznamu"/>
    <w:pPr>
      <w:numPr>
        <w:numId w:val="7"/>
      </w:numPr>
    </w:pPr>
  </w:style>
  <w:style w:type="numbering" w:customStyle="1" w:styleId="WWOutlineListStyle24">
    <w:name w:val="WW_OutlineListStyle_24"/>
    <w:basedOn w:val="Bezseznamu"/>
    <w:pPr>
      <w:numPr>
        <w:numId w:val="8"/>
      </w:numPr>
    </w:pPr>
  </w:style>
  <w:style w:type="numbering" w:customStyle="1" w:styleId="WWOutlineListStyle23">
    <w:name w:val="WW_OutlineListStyle_23"/>
    <w:basedOn w:val="Bezseznamu"/>
    <w:pPr>
      <w:numPr>
        <w:numId w:val="9"/>
      </w:numPr>
    </w:pPr>
  </w:style>
  <w:style w:type="numbering" w:customStyle="1" w:styleId="WWOutlineListStyle22">
    <w:name w:val="WW_OutlineListStyle_22"/>
    <w:basedOn w:val="Bezseznamu"/>
    <w:pPr>
      <w:numPr>
        <w:numId w:val="10"/>
      </w:numPr>
    </w:pPr>
  </w:style>
  <w:style w:type="numbering" w:customStyle="1" w:styleId="WWOutlineListStyle21">
    <w:name w:val="WW_OutlineListStyle_21"/>
    <w:basedOn w:val="Bezseznamu"/>
    <w:pPr>
      <w:numPr>
        <w:numId w:val="11"/>
      </w:numPr>
    </w:pPr>
  </w:style>
  <w:style w:type="numbering" w:customStyle="1" w:styleId="WWOutlineListStyle20">
    <w:name w:val="WW_OutlineListStyle_20"/>
    <w:basedOn w:val="Bezseznamu"/>
    <w:pPr>
      <w:numPr>
        <w:numId w:val="12"/>
      </w:numPr>
    </w:pPr>
  </w:style>
  <w:style w:type="numbering" w:customStyle="1" w:styleId="WWOutlineListStyle19">
    <w:name w:val="WW_OutlineListStyle_19"/>
    <w:basedOn w:val="Bezseznamu"/>
    <w:pPr>
      <w:numPr>
        <w:numId w:val="13"/>
      </w:numPr>
    </w:pPr>
  </w:style>
  <w:style w:type="numbering" w:customStyle="1" w:styleId="WWOutlineListStyle18">
    <w:name w:val="WW_OutlineListStyle_18"/>
    <w:basedOn w:val="Bezseznamu"/>
    <w:pPr>
      <w:numPr>
        <w:numId w:val="14"/>
      </w:numPr>
    </w:pPr>
  </w:style>
  <w:style w:type="numbering" w:customStyle="1" w:styleId="WWOutlineListStyle17">
    <w:name w:val="WW_OutlineListStyle_17"/>
    <w:basedOn w:val="Bezseznamu"/>
    <w:pPr>
      <w:numPr>
        <w:numId w:val="15"/>
      </w:numPr>
    </w:pPr>
  </w:style>
  <w:style w:type="numbering" w:customStyle="1" w:styleId="Outline">
    <w:name w:val="Outline"/>
    <w:basedOn w:val="Bezseznamu"/>
    <w:pPr>
      <w:numPr>
        <w:numId w:val="16"/>
      </w:numPr>
    </w:pPr>
  </w:style>
  <w:style w:type="numbering" w:customStyle="1" w:styleId="WWOutlineListStyle16">
    <w:name w:val="WW_OutlineListStyle_16"/>
    <w:basedOn w:val="Bezseznamu"/>
    <w:pPr>
      <w:numPr>
        <w:numId w:val="17"/>
      </w:numPr>
    </w:pPr>
  </w:style>
  <w:style w:type="numbering" w:customStyle="1" w:styleId="WWOutlineListStyle15">
    <w:name w:val="WW_OutlineListStyle_15"/>
    <w:basedOn w:val="Bezseznamu"/>
    <w:pPr>
      <w:numPr>
        <w:numId w:val="18"/>
      </w:numPr>
    </w:pPr>
  </w:style>
  <w:style w:type="numbering" w:customStyle="1" w:styleId="WWOutlineListStyle14">
    <w:name w:val="WW_OutlineListStyle_14"/>
    <w:basedOn w:val="Bezseznamu"/>
    <w:pPr>
      <w:numPr>
        <w:numId w:val="19"/>
      </w:numPr>
    </w:pPr>
  </w:style>
  <w:style w:type="numbering" w:customStyle="1" w:styleId="WWOutlineListStyle13">
    <w:name w:val="WW_OutlineListStyle_13"/>
    <w:basedOn w:val="Bezseznamu"/>
    <w:pPr>
      <w:numPr>
        <w:numId w:val="20"/>
      </w:numPr>
    </w:pPr>
  </w:style>
  <w:style w:type="numbering" w:customStyle="1" w:styleId="WWOutlineListStyle12">
    <w:name w:val="WW_OutlineListStyle_12"/>
    <w:basedOn w:val="Bezseznamu"/>
    <w:pPr>
      <w:numPr>
        <w:numId w:val="21"/>
      </w:numPr>
    </w:pPr>
  </w:style>
  <w:style w:type="numbering" w:customStyle="1" w:styleId="WWOutlineListStyle11">
    <w:name w:val="WW_OutlineListStyle_11"/>
    <w:basedOn w:val="Bezseznamu"/>
    <w:pPr>
      <w:numPr>
        <w:numId w:val="22"/>
      </w:numPr>
    </w:pPr>
  </w:style>
  <w:style w:type="numbering" w:customStyle="1" w:styleId="WWOutlineListStyle10">
    <w:name w:val="WW_OutlineListStyle_10"/>
    <w:basedOn w:val="Bezseznamu"/>
    <w:pPr>
      <w:numPr>
        <w:numId w:val="23"/>
      </w:numPr>
    </w:pPr>
  </w:style>
  <w:style w:type="numbering" w:customStyle="1" w:styleId="WWOutlineListStyle9">
    <w:name w:val="WW_OutlineListStyle_9"/>
    <w:basedOn w:val="Bezseznamu"/>
    <w:pPr>
      <w:numPr>
        <w:numId w:val="24"/>
      </w:numPr>
    </w:pPr>
  </w:style>
  <w:style w:type="numbering" w:customStyle="1" w:styleId="WWOutlineListStyle8">
    <w:name w:val="WW_OutlineListStyle_8"/>
    <w:basedOn w:val="Bezseznamu"/>
    <w:pPr>
      <w:numPr>
        <w:numId w:val="25"/>
      </w:numPr>
    </w:pPr>
  </w:style>
  <w:style w:type="numbering" w:customStyle="1" w:styleId="WWOutlineListStyle7">
    <w:name w:val="WW_OutlineListStyle_7"/>
    <w:basedOn w:val="Bezseznamu"/>
    <w:pPr>
      <w:numPr>
        <w:numId w:val="26"/>
      </w:numPr>
    </w:pPr>
  </w:style>
  <w:style w:type="numbering" w:customStyle="1" w:styleId="WWOutlineListStyle6">
    <w:name w:val="WW_OutlineListStyle_6"/>
    <w:basedOn w:val="Bezseznamu"/>
    <w:pPr>
      <w:numPr>
        <w:numId w:val="27"/>
      </w:numPr>
    </w:pPr>
  </w:style>
  <w:style w:type="numbering" w:customStyle="1" w:styleId="WWOutlineListStyle5">
    <w:name w:val="WW_OutlineListStyle_5"/>
    <w:basedOn w:val="Bezseznamu"/>
    <w:pPr>
      <w:numPr>
        <w:numId w:val="28"/>
      </w:numPr>
    </w:pPr>
  </w:style>
  <w:style w:type="numbering" w:customStyle="1" w:styleId="WWOutlineListStyle4">
    <w:name w:val="WW_OutlineListStyle_4"/>
    <w:basedOn w:val="Bezseznamu"/>
    <w:pPr>
      <w:numPr>
        <w:numId w:val="29"/>
      </w:numPr>
    </w:pPr>
  </w:style>
  <w:style w:type="numbering" w:customStyle="1" w:styleId="WWOutlineListStyle3">
    <w:name w:val="WW_OutlineListStyle_3"/>
    <w:basedOn w:val="Bezseznamu"/>
    <w:pPr>
      <w:numPr>
        <w:numId w:val="30"/>
      </w:numPr>
    </w:pPr>
  </w:style>
  <w:style w:type="numbering" w:customStyle="1" w:styleId="WWOutlineListStyle2">
    <w:name w:val="WW_OutlineListStyle_2"/>
    <w:basedOn w:val="Bezseznamu"/>
    <w:pPr>
      <w:numPr>
        <w:numId w:val="31"/>
      </w:numPr>
    </w:pPr>
  </w:style>
  <w:style w:type="numbering" w:customStyle="1" w:styleId="WWOutlineListStyle1">
    <w:name w:val="WW_OutlineListStyle_1"/>
    <w:basedOn w:val="Bezseznamu"/>
    <w:pPr>
      <w:numPr>
        <w:numId w:val="32"/>
      </w:numPr>
    </w:pPr>
  </w:style>
  <w:style w:type="numbering" w:customStyle="1" w:styleId="WWOutlineListStyle">
    <w:name w:val="WW_OutlineListStyle"/>
    <w:basedOn w:val="Bezseznamu"/>
    <w:pPr>
      <w:numPr>
        <w:numId w:val="33"/>
      </w:numPr>
    </w:pPr>
  </w:style>
  <w:style w:type="table" w:styleId="Mkatabulky">
    <w:name w:val="Table Grid"/>
    <w:basedOn w:val="Normlntabulka"/>
    <w:uiPriority w:val="39"/>
    <w:rsid w:val="008E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1908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dni 31. 12. 2010</dc:creator>
  <cp:lastModifiedBy>Pavlína Sedliská</cp:lastModifiedBy>
  <cp:revision>2</cp:revision>
  <cp:lastPrinted>2021-06-21T09:45:00Z</cp:lastPrinted>
  <dcterms:created xsi:type="dcterms:W3CDTF">2025-05-27T09:12:00Z</dcterms:created>
  <dcterms:modified xsi:type="dcterms:W3CDTF">2025-05-27T09:12:00Z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0x0101009A3F5716E4BCDD4181534066BBDEAA99</vt:lpwstr>
  </property>
</Properties>
</file>