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072"/>
      </w:tblGrid>
      <w:tr>
        <w:trPr>
          <w:trHeight w:val="1002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4f81bd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ř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íloha v ú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četn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í záv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ěrce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ve zkráceném rozsahu</w:t>
            </w:r>
          </w:p>
        </w:tc>
      </w:tr>
      <w:tr>
        <w:trPr>
          <w:trHeight w:val="720" w:hRule="auto"/>
          <w:jc w:val="left"/>
        </w:trPr>
        <w:tc>
          <w:tcPr>
            <w:tcW w:w="9072" w:type="dxa"/>
            <w:tcBorders>
              <w:top w:val="single" w:color="4f81bd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40"/>
                <w:shd w:fill="auto" w:val="clear"/>
              </w:rPr>
              <w:t xml:space="preserve">Korporace Broker Pool Invest  a.s.</w:t>
            </w:r>
          </w:p>
        </w:tc>
      </w:tr>
      <w:tr>
        <w:trPr>
          <w:trHeight w:val="8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ke dni 31.12.2021</w:t>
            </w:r>
          </w:p>
        </w:tc>
      </w:tr>
      <w:tr>
        <w:trPr>
          <w:trHeight w:val="36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</w:tabs>
        <w:spacing w:before="120" w:after="0" w:line="28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1.</w:t>
        <w:tab/>
        <w:t xml:space="preserve">Charakteristika a hlavní aktivity</w:t>
      </w:r>
    </w:p>
    <w:p>
      <w:pPr>
        <w:spacing w:before="240" w:after="0" w:line="280"/>
        <w:ind w:right="0" w:left="36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Založení a charakteristika společnosti</w:t>
      </w:r>
    </w:p>
    <w:p>
      <w:pPr>
        <w:spacing w:before="120" w:after="0" w:line="28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Broker Pool Invest a.s. (dále jen společnost) vznikla 9. srpna 2016 zápisem do obchodního rejstříku vedeného u Městského soudu v Praze, oddíl B, vložka 21775.  Předmětem podnikání společnosti zapsaným v obchodním rejstříku je správa vlastního majetku,  výroba, obchod a služby neuvedené v přílohách 1 až 3 živnostenského zákona a zprostředkování doplňkového penzijního spoření.</w:t>
      </w:r>
    </w:p>
    <w:p>
      <w:pPr>
        <w:spacing w:before="0" w:after="0" w:line="280"/>
        <w:ind w:right="0" w:left="357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80"/>
        <w:ind w:right="0" w:left="36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Sídlo společnosti</w:t>
      </w:r>
    </w:p>
    <w:p>
      <w:pPr>
        <w:spacing w:before="0" w:after="0" w:line="240"/>
        <w:ind w:right="0" w:left="357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Broker Pool Invest a.s.</w:t>
      </w:r>
    </w:p>
    <w:p>
      <w:pPr>
        <w:spacing w:before="0" w:after="0" w:line="240"/>
        <w:ind w:right="0" w:left="357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Sádky 1615/4</w:t>
      </w:r>
    </w:p>
    <w:p>
      <w:pPr>
        <w:spacing w:before="0" w:after="0" w:line="240"/>
        <w:ind w:right="0" w:left="357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796 01 Prost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ějov</w:t>
      </w:r>
    </w:p>
    <w:p>
      <w:pPr>
        <w:spacing w:before="0" w:after="0" w:line="240"/>
        <w:ind w:right="0" w:left="357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Česká republika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hanging="1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Identifika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ní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íslo</w:t>
      </w:r>
    </w:p>
    <w:p>
      <w:pPr>
        <w:spacing w:before="0" w:after="0" w:line="240"/>
        <w:ind w:right="0" w:left="426" w:hanging="1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05299993</w:t>
      </w:r>
    </w:p>
    <w:p>
      <w:pPr>
        <w:tabs>
          <w:tab w:val="left" w:pos="5670" w:leader="none"/>
        </w:tabs>
        <w:spacing w:before="0" w:after="0" w:line="360"/>
        <w:ind w:right="0" w:left="426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ředseda představenstva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Jana Ambrožová, nar. 18.5.1979</w:t>
      </w:r>
    </w:p>
    <w:p>
      <w:pPr>
        <w:tabs>
          <w:tab w:val="left" w:pos="5670" w:leader="none"/>
        </w:tabs>
        <w:spacing w:before="0" w:after="0" w:line="360"/>
        <w:ind w:right="0" w:left="426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Člen představenstva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Ing. Štěpán Kratochvíl, nar. 20.2.1979</w:t>
      </w:r>
    </w:p>
    <w:p>
      <w:pPr>
        <w:tabs>
          <w:tab w:val="left" w:pos="5670" w:leader="none"/>
        </w:tabs>
        <w:spacing w:before="0" w:after="0" w:line="360"/>
        <w:ind w:right="0" w:left="426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670" w:leader="none"/>
        </w:tabs>
        <w:spacing w:before="0" w:after="0" w:line="360"/>
        <w:ind w:right="0" w:left="42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Člen dozorčí rady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: Jiří Lněníček, nar. 1.8.1985</w:t>
      </w:r>
    </w:p>
    <w:p>
      <w:pPr>
        <w:tabs>
          <w:tab w:val="left" w:pos="5760" w:leader="none"/>
        </w:tabs>
        <w:spacing w:before="0" w:after="0" w:line="240"/>
        <w:ind w:right="0" w:left="42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0"/>
        <w:ind w:right="0" w:left="36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Změny v obchodním rejstříku v roce 2021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 obchodním rejstříku byly v roce 2021 zapsány tyto změny: změna členů správní rady a statutárního ředitele. Jmenování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předsedy a člena představenstva a dozorčí rady.</w:t>
      </w:r>
    </w:p>
    <w:p>
      <w:pPr>
        <w:spacing w:before="0" w:after="120" w:line="240"/>
        <w:ind w:right="0" w:left="426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357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Organizační struktura a předmět činnosti společnosti</w:t>
      </w:r>
    </w:p>
    <w:p>
      <w:pPr>
        <w:spacing w:before="0" w:after="0" w:line="28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čnost zastupuje při všech právních jednáních předseda představenstava samostatně.</w:t>
      </w:r>
    </w:p>
    <w:p>
      <w:pPr>
        <w:spacing w:before="120" w:after="0" w:line="28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Předmětem podnikání společnosti zapsaným v obchodním rejstříku je správa vlastního majetku,  výroba, obchod a služby neuvedené v přílohách 1 až 3 živnostenského zákona a zprostředkování doplňkového penzijního spoření.</w:t>
      </w:r>
    </w:p>
    <w:p>
      <w:pPr>
        <w:spacing w:before="0" w:after="0" w:line="28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8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</w:tabs>
        <w:spacing w:before="12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2.</w:t>
        <w:tab/>
        <w:t xml:space="preserve">Zásadní účetní postupy používané společností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8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(a)</w:t>
        <w:tab/>
        <w:t xml:space="preserve">Východiska pro přípravu účetní závěrky</w:t>
      </w:r>
    </w:p>
    <w:p>
      <w:pPr>
        <w:spacing w:before="120" w:after="0" w:line="28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etní záv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rka byla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ipravena na základ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etnictví vedeného v souladu se zákonem o 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etnictví a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íslušnými na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ízeními a vyhláškami platnými v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eské republice. Záv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rka byla zpracována na principech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tování v historických cenách a principech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asového rozlišení nákladù a výnosù.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80"/>
        <w:ind w:right="0" w:left="357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(b)</w:t>
        <w:tab/>
        <w:t xml:space="preserve">Dlouhodobý finanční majetek</w:t>
      </w:r>
    </w:p>
    <w:p>
      <w:pPr>
        <w:spacing w:before="120" w:after="0" w:line="28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Dlouhodobý finanèní majetek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edstavuje majetkové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asti, realizovatelné cenné papíry a podíly a je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tován v 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izovací cen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izovací cena zahrnuje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ímé náklady související s 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ízením jako poplatky a provize maklé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ùm, poradcùm, burzám.</w:t>
      </w:r>
    </w:p>
    <w:p>
      <w:pPr>
        <w:spacing w:before="120" w:after="0" w:line="28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Majetkové úèasti jsou oce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ň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ovány 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izovací cenou.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8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(c)</w:t>
        <w:tab/>
        <w:t xml:space="preserve">Stanovení opravných položek a rezerv</w:t>
      </w:r>
    </w:p>
    <w:p>
      <w:pPr>
        <w:spacing w:before="120" w:after="0" w:line="28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nost tvo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opravné položky netto zpùsobem, tj. do nákladù se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tuje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ástka ve výši rozdílu stavu opravných položek na 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átku a konci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etního období.</w:t>
      </w:r>
    </w:p>
    <w:p>
      <w:pPr>
        <w:spacing w:before="120" w:after="120" w:line="240"/>
        <w:ind w:right="0" w:left="720" w:hanging="11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Opravné položky k pohledávkám</w:t>
      </w:r>
    </w:p>
    <w:p>
      <w:pPr>
        <w:spacing w:before="0" w:after="0" w:line="240"/>
        <w:ind w:right="0" w:left="720" w:hanging="1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Společnost tvoří opravné položky pro pochybné pohledávky podle vlastní analýzy platební schopnosti svých zákazníků.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357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(d)</w:t>
        <w:tab/>
        <w:t xml:space="preserve">Daň z příjmů</w:t>
      </w:r>
    </w:p>
    <w:p>
      <w:pPr>
        <w:spacing w:before="120" w:after="0" w:line="28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ň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z 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íjmù za dané období se skládá ze splatné danì.  </w:t>
      </w:r>
    </w:p>
    <w:p>
      <w:pPr>
        <w:spacing w:before="120" w:after="0" w:line="28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Splatná da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ň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zahrnuje da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ň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vypo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tenou z da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ň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ového základu s použitím da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ň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ové sazby platné pro vykazované období a veškeré dom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rky a vratky za minulá období.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357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(e)</w:t>
        <w:tab/>
        <w:t xml:space="preserve">Přepočty cizích měn</w:t>
      </w:r>
    </w:p>
    <w:p>
      <w:pPr>
        <w:spacing w:before="12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Společnost používá pro přepočet cizích měn oficiální směnný kurz ČNB ke dni vzniku účetního případu, tj. pohledávky či závazku, stejný kurz se používá i pro přepočet aktiv a pasiv v zahraniční měně k rozvahovému dni. V průběhu roku se účtuje pouze o realizovaných kurzových ziscích a ztrátách. Nerealizované kurzové zisky a ztráty jsou zachyceny v hospodářském výsledku.</w:t>
      </w:r>
    </w:p>
    <w:p>
      <w:pPr>
        <w:spacing w:before="12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</w:tabs>
        <w:spacing w:before="120" w:after="0" w:line="28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3.</w:t>
        <w:tab/>
        <w:t xml:space="preserve">Dlouhodobý finanční majetek</w:t>
      </w:r>
    </w:p>
    <w:p>
      <w:pPr>
        <w:spacing w:before="0" w:after="0" w:line="280"/>
        <w:ind w:right="0" w:left="425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nost k 31. prosinci 202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neeviduje žádné úèasti v jiných spole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ostech. </w:t>
      </w:r>
    </w:p>
    <w:p>
      <w:pPr>
        <w:spacing w:before="0" w:after="0" w:line="280"/>
        <w:ind w:right="0" w:left="425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</w:tabs>
        <w:spacing w:before="0" w:after="0" w:line="28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4.</w:t>
        <w:tab/>
        <w:t xml:space="preserve">Pohledávky a závazky</w:t>
      </w:r>
    </w:p>
    <w:p>
      <w:pPr>
        <w:numPr>
          <w:ilvl w:val="0"/>
          <w:numId w:val="57"/>
        </w:numPr>
        <w:spacing w:before="120" w:after="0" w:line="28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Krátkodobé  pohledávky k 31. prosinci 2021 činí 58 tis. Kč .</w:t>
      </w:r>
    </w:p>
    <w:p>
      <w:pPr>
        <w:numPr>
          <w:ilvl w:val="0"/>
          <w:numId w:val="57"/>
        </w:numPr>
        <w:spacing w:before="120" w:after="0" w:line="28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Dlouhodobé pohledávky k 31.prosinci 2021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činí 700 tis. Kč.</w:t>
      </w:r>
    </w:p>
    <w:p>
      <w:pPr>
        <w:numPr>
          <w:ilvl w:val="0"/>
          <w:numId w:val="57"/>
        </w:numPr>
        <w:spacing w:before="120" w:after="0" w:line="28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Krátkodobé závazky k 31.prosinci 2021 činí 145 tis. Kč.</w:t>
      </w:r>
    </w:p>
    <w:p>
      <w:pPr>
        <w:numPr>
          <w:ilvl w:val="0"/>
          <w:numId w:val="57"/>
        </w:numPr>
        <w:spacing w:before="120" w:after="0" w:line="28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Dlouhodobé závazky k 31.prosinci 2021 činí 1106 tis. Kč.</w:t>
      </w:r>
    </w:p>
    <w:p>
      <w:pPr>
        <w:tabs>
          <w:tab w:val="left" w:pos="360" w:leader="none"/>
        </w:tabs>
        <w:spacing w:before="240" w:after="0" w:line="28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5.</w:t>
        <w:tab/>
        <w:t xml:space="preserve">Opravné položky</w:t>
      </w:r>
    </w:p>
    <w:p>
      <w:pPr>
        <w:spacing w:before="120" w:after="0" w:line="28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Opravné položky společnost k 31. prosinci 2021 nevykazuje.</w:t>
      </w:r>
    </w:p>
    <w:p>
      <w:pPr>
        <w:spacing w:before="120" w:after="0" w:line="28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</w:tabs>
        <w:spacing w:before="120" w:after="0" w:line="28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6.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Základní kapitál</w:t>
      </w:r>
    </w:p>
    <w:p>
      <w:pPr>
        <w:spacing w:before="0" w:after="0" w:line="240"/>
        <w:ind w:right="0" w:left="426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Základní kapitál k 31. prosinci 2021 činí 2 000 tis. Kč. Základní kapitál je tvořen 200 ks akcií na jméno v listinné podobě ve jmenovité hodnotě 10 000 Kč. </w:t>
      </w:r>
    </w:p>
    <w:p>
      <w:pPr>
        <w:spacing w:before="0" w:after="0" w:line="240"/>
        <w:ind w:right="0" w:left="426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Základní kapitál je splacen v plné výši.</w:t>
      </w:r>
    </w:p>
    <w:p>
      <w:pPr>
        <w:spacing w:before="0" w:after="0" w:line="240"/>
        <w:ind w:right="0" w:left="426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</w:tabs>
        <w:spacing w:before="240" w:after="0" w:line="28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7.</w:t>
        <w:tab/>
        <w:t xml:space="preserve">Vlastní kapitál</w:t>
      </w:r>
    </w:p>
    <w:p>
      <w:pPr>
        <w:spacing w:before="120" w:after="240" w:line="280"/>
        <w:ind w:right="0" w:left="357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Přehled pohybů vlastního kapitálu</w:t>
      </w:r>
    </w:p>
    <w:tbl>
      <w:tblPr>
        <w:tblInd w:w="284" w:type="dxa"/>
      </w:tblPr>
      <w:tblGrid>
        <w:gridCol w:w="1984"/>
        <w:gridCol w:w="851"/>
        <w:gridCol w:w="1276"/>
        <w:gridCol w:w="1134"/>
        <w:gridCol w:w="992"/>
        <w:gridCol w:w="992"/>
        <w:gridCol w:w="1134"/>
        <w:gridCol w:w="425"/>
      </w:tblGrid>
      <w:tr>
        <w:trPr>
          <w:trHeight w:val="840" w:hRule="auto"/>
          <w:jc w:val="left"/>
        </w:trPr>
        <w:tc>
          <w:tcPr>
            <w:tcW w:w="1984" w:type="dxa"/>
            <w:tcBorders>
              <w:top w:val="single" w:color="836967" w:sz="15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 tis. Kč</w:t>
            </w:r>
          </w:p>
        </w:tc>
        <w:tc>
          <w:tcPr>
            <w:tcW w:w="851" w:type="dxa"/>
            <w:tcBorders>
              <w:top w:val="single" w:color="836967" w:sz="15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Základní kapitál</w:t>
            </w:r>
          </w:p>
        </w:tc>
        <w:tc>
          <w:tcPr>
            <w:tcW w:w="1276" w:type="dxa"/>
            <w:tcBorders>
              <w:top w:val="single" w:color="836967" w:sz="15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HV běžného/min.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období</w:t>
            </w:r>
          </w:p>
        </w:tc>
        <w:tc>
          <w:tcPr>
            <w:tcW w:w="1134" w:type="dxa"/>
            <w:tcBorders>
              <w:top w:val="single" w:color="836967" w:sz="15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Neuhrazená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ztráta</w:t>
            </w:r>
          </w:p>
        </w:tc>
        <w:tc>
          <w:tcPr>
            <w:tcW w:w="992" w:type="dxa"/>
            <w:tcBorders>
              <w:top w:val="single" w:color="836967" w:sz="15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Nerozděl zisk min. období</w:t>
            </w:r>
          </w:p>
        </w:tc>
        <w:tc>
          <w:tcPr>
            <w:tcW w:w="992" w:type="dxa"/>
            <w:tcBorders>
              <w:top w:val="single" w:color="836967" w:sz="15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Ážio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836967" w:sz="15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Celkem</w:t>
            </w:r>
          </w:p>
        </w:tc>
        <w:tc>
          <w:tcPr>
            <w:tcW w:w="425" w:type="dxa"/>
            <w:tcBorders>
              <w:top w:val="single" w:color="836967" w:sz="15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198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Zůstatek k 1.1.2020</w:t>
            </w:r>
          </w:p>
        </w:tc>
        <w:tc>
          <w:tcPr>
            <w:tcW w:w="85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2 000</w:t>
            </w:r>
          </w:p>
        </w:tc>
        <w:tc>
          <w:tcPr>
            <w:tcW w:w="12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-2700</w:t>
            </w:r>
          </w:p>
        </w:tc>
        <w:tc>
          <w:tcPr>
            <w:tcW w:w="113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  <w:tc>
          <w:tcPr>
            <w:tcW w:w="99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2 349</w:t>
            </w:r>
          </w:p>
        </w:tc>
        <w:tc>
          <w:tcPr>
            <w:tcW w:w="99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1 649</w:t>
            </w:r>
          </w:p>
        </w:tc>
        <w:tc>
          <w:tcPr>
            <w:tcW w:w="42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198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Rozdělení HV r. 2020</w:t>
            </w:r>
          </w:p>
        </w:tc>
        <w:tc>
          <w:tcPr>
            <w:tcW w:w="85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2 700</w:t>
            </w:r>
          </w:p>
        </w:tc>
        <w:tc>
          <w:tcPr>
            <w:tcW w:w="113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- 351</w:t>
            </w:r>
          </w:p>
        </w:tc>
        <w:tc>
          <w:tcPr>
            <w:tcW w:w="99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-2 349</w:t>
            </w:r>
          </w:p>
        </w:tc>
        <w:tc>
          <w:tcPr>
            <w:tcW w:w="99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2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03" w:hRule="auto"/>
          <w:jc w:val="left"/>
        </w:trPr>
        <w:tc>
          <w:tcPr>
            <w:tcW w:w="198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HV za rok 2021</w:t>
            </w:r>
          </w:p>
        </w:tc>
        <w:tc>
          <w:tcPr>
            <w:tcW w:w="85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-2 100</w:t>
            </w:r>
          </w:p>
        </w:tc>
        <w:tc>
          <w:tcPr>
            <w:tcW w:w="113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  <w:tc>
          <w:tcPr>
            <w:tcW w:w="99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  <w:tc>
          <w:tcPr>
            <w:tcW w:w="99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-2 101</w:t>
            </w:r>
          </w:p>
        </w:tc>
        <w:tc>
          <w:tcPr>
            <w:tcW w:w="42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984" w:type="dxa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Ostatní změny</w:t>
            </w:r>
          </w:p>
        </w:tc>
        <w:tc>
          <w:tcPr>
            <w:tcW w:w="851" w:type="dxa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  <w:tc>
          <w:tcPr>
            <w:tcW w:w="992" w:type="dxa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</w:t>
            </w:r>
          </w:p>
        </w:tc>
        <w:tc>
          <w:tcPr>
            <w:tcW w:w="992" w:type="dxa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25" w:type="dxa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31" w:hRule="auto"/>
          <w:jc w:val="left"/>
        </w:trPr>
        <w:tc>
          <w:tcPr>
            <w:tcW w:w="1984" w:type="dxa"/>
            <w:tcBorders>
              <w:top w:val="single" w:color="836967" w:sz="5"/>
              <w:left w:val="single" w:color="836967" w:sz="0"/>
              <w:bottom w:val="single" w:color="836967" w:sz="1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Zůstatek k 31.12.2021</w:t>
            </w:r>
          </w:p>
        </w:tc>
        <w:tc>
          <w:tcPr>
            <w:tcW w:w="851" w:type="dxa"/>
            <w:tcBorders>
              <w:top w:val="single" w:color="836967" w:sz="5"/>
              <w:left w:val="single" w:color="836967" w:sz="0"/>
              <w:bottom w:val="single" w:color="836967" w:sz="1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2 000</w:t>
            </w:r>
          </w:p>
        </w:tc>
        <w:tc>
          <w:tcPr>
            <w:tcW w:w="1276" w:type="dxa"/>
            <w:tcBorders>
              <w:top w:val="single" w:color="836967" w:sz="5"/>
              <w:left w:val="single" w:color="836967" w:sz="0"/>
              <w:bottom w:val="single" w:color="836967" w:sz="1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-2 100</w:t>
            </w:r>
          </w:p>
        </w:tc>
        <w:tc>
          <w:tcPr>
            <w:tcW w:w="1134" w:type="dxa"/>
            <w:tcBorders>
              <w:top w:val="single" w:color="836967" w:sz="5"/>
              <w:left w:val="single" w:color="836967" w:sz="0"/>
              <w:bottom w:val="single" w:color="836967" w:sz="1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-351</w:t>
            </w:r>
          </w:p>
        </w:tc>
        <w:tc>
          <w:tcPr>
            <w:tcW w:w="992" w:type="dxa"/>
            <w:tcBorders>
              <w:top w:val="single" w:color="836967" w:sz="5"/>
              <w:left w:val="single" w:color="836967" w:sz="0"/>
              <w:bottom w:val="single" w:color="836967" w:sz="1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</w:t>
            </w:r>
          </w:p>
        </w:tc>
        <w:tc>
          <w:tcPr>
            <w:tcW w:w="992" w:type="dxa"/>
            <w:tcBorders>
              <w:top w:val="single" w:color="836967" w:sz="5"/>
              <w:left w:val="single" w:color="836967" w:sz="0"/>
              <w:bottom w:val="single" w:color="836967" w:sz="1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  <w:tc>
          <w:tcPr>
            <w:tcW w:w="1134" w:type="dxa"/>
            <w:tcBorders>
              <w:top w:val="single" w:color="836967" w:sz="5"/>
              <w:left w:val="single" w:color="836967" w:sz="0"/>
              <w:bottom w:val="single" w:color="836967" w:sz="1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-452</w:t>
            </w:r>
          </w:p>
        </w:tc>
        <w:tc>
          <w:tcPr>
            <w:tcW w:w="425" w:type="dxa"/>
            <w:tcBorders>
              <w:top w:val="single" w:color="836967" w:sz="5"/>
              <w:left w:val="single" w:color="836967" w:sz="0"/>
              <w:bottom w:val="single" w:color="836967" w:sz="15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</w:tbl>
    <w:p>
      <w:pPr>
        <w:spacing w:before="120" w:after="0" w:line="28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 úhradě ztráty za rok 2021 rozhodne valná hromada v souladu se stanovami společnosti a platnými právními předpisy.</w:t>
      </w:r>
    </w:p>
    <w:p>
      <w:pPr>
        <w:spacing w:before="120" w:after="0" w:line="28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</w:tabs>
        <w:spacing w:before="240" w:after="0" w:line="28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.</w:t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Odměny a půjčky členům orgánů společnosti</w:t>
      </w:r>
    </w:p>
    <w:p>
      <w:pPr>
        <w:spacing w:before="120" w:after="0" w:line="28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 průběhu roku 2021 nebyly členům orgánů společnosti  poskytnuty žádné půjčky. </w:t>
      </w:r>
    </w:p>
    <w:p>
      <w:pPr>
        <w:spacing w:before="120" w:after="0" w:line="28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Členové statutárních orgánů byly odměňovány na základě Smlouvy o výkonu funkce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120" w:after="0" w:line="28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8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</w:tabs>
        <w:spacing w:before="240" w:after="0" w:line="28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.</w:t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Daň z příjmů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3"/>
        </w:numPr>
        <w:spacing w:before="0" w:after="0" w:line="240"/>
        <w:ind w:right="0" w:left="644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Splatná</w:t>
      </w:r>
    </w:p>
    <w:p>
      <w:pPr>
        <w:spacing w:before="0" w:after="0" w:line="240"/>
        <w:ind w:right="0" w:left="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Společnosti za rok 2021 nevznikla daňová povinnost.</w:t>
      </w: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8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(b) Odložená</w:t>
      </w:r>
    </w:p>
    <w:p>
      <w:pPr>
        <w:spacing w:before="120" w:after="0" w:line="28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Společnosti nevznikla povinnost k účtování odložené daně.</w:t>
      </w:r>
    </w:p>
    <w:p>
      <w:pPr>
        <w:spacing w:before="120" w:after="0" w:line="28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</w:tabs>
        <w:spacing w:before="24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.</w:t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Složky peněžních prostředků </w:t>
      </w:r>
    </w:p>
    <w:p>
      <w:pPr>
        <w:spacing w:before="120" w:after="240" w:line="280"/>
        <w:ind w:right="0" w:left="357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Obecně společnost definuje peněžní prostředky a peněžní ekvivalenty tak, že zahrnují peníze v pokladně, peníze na cestě, peníze na bankovních účtech a další finanční aktiva, jejichž ocenění může být spolehlivě určeno a které mohou být snadno přeměněny v peněžní prostředky. Zůstatek peněžních prostředků je ke konci účetního období následující:</w:t>
      </w:r>
    </w:p>
    <w:tbl>
      <w:tblPr>
        <w:tblInd w:w="426" w:type="dxa"/>
      </w:tblPr>
      <w:tblGrid>
        <w:gridCol w:w="4394"/>
        <w:gridCol w:w="1905"/>
        <w:gridCol w:w="2206"/>
      </w:tblGrid>
      <w:tr>
        <w:trPr>
          <w:trHeight w:val="338" w:hRule="auto"/>
          <w:jc w:val="left"/>
        </w:trPr>
        <w:tc>
          <w:tcPr>
            <w:tcW w:w="4394" w:type="dxa"/>
            <w:tcBorders>
              <w:top w:val="single" w:color="836967" w:sz="15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111" w:type="dxa"/>
            <w:gridSpan w:val="2"/>
            <w:tcBorders>
              <w:top w:val="single" w:color="836967" w:sz="15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Zůstatek k 31.12.</w:t>
            </w:r>
          </w:p>
        </w:tc>
      </w:tr>
      <w:tr>
        <w:trPr>
          <w:trHeight w:val="0" w:hRule="atLeast"/>
          <w:jc w:val="left"/>
        </w:trPr>
        <w:tc>
          <w:tcPr>
            <w:tcW w:w="4394" w:type="dxa"/>
            <w:tcBorders>
              <w:top w:val="single" w:color="836967" w:sz="0"/>
              <w:left w:val="single" w:color="836967" w:sz="0"/>
              <w:bottom w:val="single" w:color="836967" w:sz="7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905" w:type="dxa"/>
            <w:tcBorders>
              <w:top w:val="single" w:color="836967" w:sz="0"/>
              <w:left w:val="single" w:color="836967" w:sz="0"/>
              <w:bottom w:val="single" w:color="836967" w:sz="7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2021</w:t>
            </w:r>
          </w:p>
        </w:tc>
        <w:tc>
          <w:tcPr>
            <w:tcW w:w="2206" w:type="dxa"/>
            <w:tcBorders>
              <w:top w:val="single" w:color="836967" w:sz="0"/>
              <w:left w:val="single" w:color="836967" w:sz="0"/>
              <w:bottom w:val="single" w:color="836967" w:sz="7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2020</w:t>
            </w:r>
          </w:p>
        </w:tc>
      </w:tr>
      <w:tr>
        <w:trPr>
          <w:trHeight w:val="0" w:hRule="atLeast"/>
          <w:jc w:val="left"/>
        </w:trPr>
        <w:tc>
          <w:tcPr>
            <w:tcW w:w="43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Peníze</w:t>
            </w:r>
          </w:p>
        </w:tc>
        <w:tc>
          <w:tcPr>
            <w:tcW w:w="190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  <w:tc>
          <w:tcPr>
            <w:tcW w:w="22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</w:tr>
      <w:tr>
        <w:trPr>
          <w:trHeight w:val="0" w:hRule="atLeast"/>
          <w:jc w:val="left"/>
        </w:trPr>
        <w:tc>
          <w:tcPr>
            <w:tcW w:w="43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Účty v bankách</w:t>
            </w:r>
          </w:p>
        </w:tc>
        <w:tc>
          <w:tcPr>
            <w:tcW w:w="190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41</w:t>
            </w:r>
          </w:p>
        </w:tc>
        <w:tc>
          <w:tcPr>
            <w:tcW w:w="22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1 751</w:t>
            </w:r>
          </w:p>
        </w:tc>
      </w:tr>
      <w:tr>
        <w:trPr>
          <w:trHeight w:val="0" w:hRule="atLeast"/>
          <w:jc w:val="left"/>
        </w:trPr>
        <w:tc>
          <w:tcPr>
            <w:tcW w:w="4394" w:type="dxa"/>
            <w:tcBorders>
              <w:top w:val="single" w:color="836967" w:sz="7"/>
              <w:left w:val="single" w:color="836967" w:sz="0"/>
              <w:bottom w:val="single" w:color="836967" w:sz="15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Celkem</w:t>
            </w:r>
          </w:p>
        </w:tc>
        <w:tc>
          <w:tcPr>
            <w:tcW w:w="1905" w:type="dxa"/>
            <w:tcBorders>
              <w:top w:val="single" w:color="836967" w:sz="7"/>
              <w:left w:val="single" w:color="836967" w:sz="0"/>
              <w:bottom w:val="single" w:color="836967" w:sz="15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41</w:t>
            </w:r>
          </w:p>
        </w:tc>
        <w:tc>
          <w:tcPr>
            <w:tcW w:w="2206" w:type="dxa"/>
            <w:tcBorders>
              <w:top w:val="single" w:color="836967" w:sz="7"/>
              <w:left w:val="single" w:color="836967" w:sz="0"/>
              <w:bottom w:val="single" w:color="836967" w:sz="15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1 751</w:t>
            </w:r>
          </w:p>
        </w:tc>
      </w:tr>
    </w:tbl>
    <w:p>
      <w:pPr>
        <w:tabs>
          <w:tab w:val="left" w:pos="360" w:leader="none"/>
        </w:tabs>
        <w:spacing w:before="24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</w:tabs>
        <w:spacing w:before="24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11. Významné následné události</w:t>
      </w:r>
    </w:p>
    <w:p>
      <w:pPr>
        <w:spacing w:before="120" w:after="0" w:line="28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 obchodním rejstříku byly v dubnu 2022 zapsány změny ve statutárních orgánech společnosti a zm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ěna sídla společnosti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120" w:after="0" w:line="28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Vedení společnosti nejsou známy žádné další události, které nastaly po rozvahovém dni a které by si vyžádaly úpravu účetní závěrky společnosti.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Sestaveno dne: 29.4.2022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Sestavil: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Vladimíra Jelínková</w:t>
      </w:r>
    </w:p>
  </w:body>
</w:document>
</file>

<file path=word/numbering.xml><?xml version="1.0" encoding="utf-8"?>
<w:numbering xmlns:w="http://schemas.openxmlformats.org/wordprocessingml/2006/main">
  <w:abstractNum w:abstractNumId="2">
    <w:lvl w:ilvl="0">
      <w:start w:val="1"/>
      <w:numFmt w:val="lowerLetter"/>
      <w:lvlText w:val="%1."/>
    </w:lvl>
  </w:abstractNum>
  <w:abstractNum w:abstractNumId="8">
    <w:lvl w:ilvl="0">
      <w:start w:val="1"/>
      <w:numFmt w:val="lowerLetter"/>
      <w:lvlText w:val="%1."/>
    </w:lvl>
  </w:abstractNum>
  <w:num w:numId="57">
    <w:abstractNumId w:val="8"/>
  </w:num>
  <w:num w:numId="93">
    <w:abstractNumId w:val="2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