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6742" w14:textId="77777777" w:rsidR="00E46940" w:rsidRDefault="00E46940"/>
    <w:p w14:paraId="25EB19FB" w14:textId="77777777" w:rsidR="00E46940" w:rsidRDefault="00E46940"/>
    <w:p w14:paraId="47508534" w14:textId="77777777" w:rsidR="00E46940" w:rsidRDefault="00E46940"/>
    <w:p w14:paraId="7712FF9E" w14:textId="77777777" w:rsidR="00E46940" w:rsidRDefault="00E46940"/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E46940" w14:paraId="7A063AC1" w14:textId="77777777">
        <w:trPr>
          <w:trHeight w:val="1002"/>
        </w:trPr>
        <w:tc>
          <w:tcPr>
            <w:tcW w:w="9072" w:type="dxa"/>
            <w:tcBorders>
              <w:bottom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4789" w14:textId="77777777" w:rsidR="00E46940" w:rsidRDefault="0049643E">
            <w:pPr>
              <w:pStyle w:val="Bezmezer"/>
              <w:jc w:val="center"/>
              <w:rPr>
                <w:rFonts w:ascii="Cambria" w:eastAsia="Times New Roman" w:hAnsi="Cambria"/>
                <w:sz w:val="60"/>
                <w:szCs w:val="60"/>
              </w:rPr>
            </w:pPr>
            <w:r>
              <w:rPr>
                <w:rFonts w:ascii="Cambria" w:eastAsia="Times New Roman" w:hAnsi="Cambria"/>
                <w:sz w:val="60"/>
                <w:szCs w:val="60"/>
              </w:rPr>
              <w:t>Příloha v účetní závěrce</w:t>
            </w:r>
          </w:p>
          <w:p w14:paraId="2CF6256B" w14:textId="77777777"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60"/>
                <w:szCs w:val="60"/>
              </w:rPr>
              <w:t>ve zkráceném rozsahu</w:t>
            </w:r>
          </w:p>
        </w:tc>
      </w:tr>
      <w:tr w:rsidR="00E46940" w14:paraId="61CBE741" w14:textId="77777777">
        <w:trPr>
          <w:trHeight w:val="720"/>
        </w:trPr>
        <w:tc>
          <w:tcPr>
            <w:tcW w:w="9072" w:type="dxa"/>
            <w:tcBorders>
              <w:top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09DA" w14:textId="77777777" w:rsidR="00E46940" w:rsidRDefault="0049643E">
            <w:pPr>
              <w:pStyle w:val="Bezmezer"/>
              <w:jc w:val="center"/>
            </w:pPr>
            <w:r>
              <w:rPr>
                <w:rFonts w:ascii="Cambria" w:eastAsia="Times New Roman" w:hAnsi="Cambria"/>
                <w:sz w:val="40"/>
                <w:szCs w:val="40"/>
              </w:rPr>
              <w:t>Korporace Česká vodohospodářská s.r.o.</w:t>
            </w:r>
          </w:p>
        </w:tc>
      </w:tr>
      <w:tr w:rsidR="00E46940" w14:paraId="7BFB244C" w14:textId="77777777">
        <w:trPr>
          <w:trHeight w:val="8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9A81" w14:textId="77777777" w:rsidR="00E46940" w:rsidRDefault="00E46940">
            <w:pPr>
              <w:pStyle w:val="Bezmezer"/>
            </w:pPr>
          </w:p>
        </w:tc>
      </w:tr>
      <w:tr w:rsidR="00E46940" w14:paraId="2CA5F91B" w14:textId="77777777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C64DA" w14:textId="423235BB" w:rsidR="00E46940" w:rsidRDefault="0049643E">
            <w:pPr>
              <w:pStyle w:val="Bezmezer"/>
              <w:jc w:val="center"/>
            </w:pPr>
            <w:r>
              <w:rPr>
                <w:bCs/>
                <w:sz w:val="30"/>
                <w:szCs w:val="30"/>
              </w:rPr>
              <w:t>ke dni 31.12.20</w:t>
            </w:r>
            <w:r w:rsidR="00350ADD">
              <w:rPr>
                <w:bCs/>
                <w:sz w:val="30"/>
                <w:szCs w:val="30"/>
              </w:rPr>
              <w:t>2</w:t>
            </w:r>
            <w:r w:rsidR="00B55CE5">
              <w:rPr>
                <w:bCs/>
                <w:sz w:val="30"/>
                <w:szCs w:val="30"/>
              </w:rPr>
              <w:t>1</w:t>
            </w:r>
          </w:p>
        </w:tc>
      </w:tr>
      <w:tr w:rsidR="00E46940" w14:paraId="13C53F4B" w14:textId="77777777">
        <w:trPr>
          <w:trHeight w:val="360"/>
        </w:trPr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48A9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4DBA8304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0741019B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63E73FEB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398C0572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4BB9AF8B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  <w:p w14:paraId="2D904C20" w14:textId="77777777" w:rsidR="00E46940" w:rsidRDefault="00E46940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14:paraId="1119E7A8" w14:textId="77777777" w:rsidR="00E46940" w:rsidRDefault="00E46940"/>
    <w:p w14:paraId="29D8CF7B" w14:textId="77777777" w:rsidR="00E46940" w:rsidRDefault="0049643E">
      <w:pPr>
        <w:spacing w:after="0" w:line="240" w:lineRule="auto"/>
        <w:rPr>
          <w:b/>
        </w:rPr>
      </w:pPr>
      <w:r>
        <w:rPr>
          <w:b/>
        </w:rPr>
        <w:t>Obsah přílohy</w:t>
      </w:r>
    </w:p>
    <w:p w14:paraId="7D9C650A" w14:textId="77777777" w:rsidR="00E46940" w:rsidRDefault="0049643E">
      <w:pPr>
        <w:spacing w:line="240" w:lineRule="auto"/>
      </w:pPr>
      <w:r>
        <w:t>Podle § 39 vyhlášky č. 500/2002 Sb.:</w:t>
      </w:r>
    </w:p>
    <w:p w14:paraId="73DD3C25" w14:textId="77777777" w:rsidR="00E46940" w:rsidRDefault="00E46940">
      <w:pPr>
        <w:spacing w:line="240" w:lineRule="auto"/>
        <w:rPr>
          <w:sz w:val="8"/>
          <w:szCs w:val="8"/>
          <w:lang w:eastAsia="cs-CZ"/>
        </w:rPr>
      </w:pPr>
    </w:p>
    <w:p w14:paraId="0959600A" w14:textId="77777777" w:rsidR="00E46940" w:rsidRDefault="0049643E">
      <w:pPr>
        <w:pStyle w:val="Obsah1"/>
      </w:pPr>
      <w:r>
        <w:rPr>
          <w:sz w:val="22"/>
          <w:szCs w:val="22"/>
        </w:rPr>
        <w:fldChar w:fldCharType="begin"/>
      </w:r>
      <w:r>
        <w:instrText xml:space="preserve"> TOC \o "1-1" \u \n 1-9 \h </w:instrText>
      </w:r>
      <w:r>
        <w:rPr>
          <w:sz w:val="22"/>
          <w:szCs w:val="22"/>
        </w:rPr>
        <w:fldChar w:fldCharType="separate"/>
      </w:r>
      <w:hyperlink w:anchor="_Toc438559025" w:history="1">
        <w:r>
          <w:rPr>
            <w:rStyle w:val="Hypertextovodkaz"/>
          </w:rPr>
          <w:t>1.</w:t>
        </w:r>
        <w:r>
          <w:rPr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Popis účetní jednotky</w:t>
        </w:r>
      </w:hyperlink>
    </w:p>
    <w:p w14:paraId="44C61834" w14:textId="77777777" w:rsidR="00E46940" w:rsidRDefault="003A65C1">
      <w:pPr>
        <w:pStyle w:val="Obsah1"/>
      </w:pPr>
      <w:hyperlink w:anchor="_Toc438559026" w:history="1">
        <w:r w:rsidR="0049643E">
          <w:rPr>
            <w:rStyle w:val="Hypertextovodkaz"/>
          </w:rPr>
          <w:t>2.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Použité obecné účetní zásady, účetní metody a odchylky od těchto metod</w:t>
        </w:r>
      </w:hyperlink>
    </w:p>
    <w:p w14:paraId="7E9B620C" w14:textId="77777777" w:rsidR="00E46940" w:rsidRDefault="003A65C1">
      <w:pPr>
        <w:pStyle w:val="Obsah1"/>
      </w:pPr>
      <w:hyperlink w:anchor="_Toc438559027" w:history="1">
        <w:r w:rsidR="0049643E">
          <w:rPr>
            <w:rStyle w:val="Hypertextovodkaz"/>
          </w:rPr>
          <w:t>3.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Informace k položkám závazkových vztahů</w:t>
        </w:r>
      </w:hyperlink>
    </w:p>
    <w:p w14:paraId="2A0D5A6D" w14:textId="77777777" w:rsidR="00E46940" w:rsidRDefault="003A65C1">
      <w:pPr>
        <w:pStyle w:val="Obsah1"/>
      </w:pPr>
      <w:hyperlink w:anchor="_Toc438559028" w:history="1">
        <w:r w:rsidR="0049643E">
          <w:rPr>
            <w:rStyle w:val="Hypertextovodkaz"/>
          </w:rPr>
          <w:t>4.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Výše a povaha jednotlivých položek výnosů a nákladů, které jsou mimořádné svým objemem nebo původem</w:t>
        </w:r>
      </w:hyperlink>
    </w:p>
    <w:p w14:paraId="5D52C902" w14:textId="77777777" w:rsidR="00E46940" w:rsidRDefault="003A65C1">
      <w:pPr>
        <w:pStyle w:val="Obsah1"/>
      </w:pPr>
      <w:hyperlink w:anchor="_Toc438559029" w:history="1">
        <w:r w:rsidR="0049643E">
          <w:rPr>
            <w:rStyle w:val="Hypertextovodkaz"/>
          </w:rPr>
          <w:t>5.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Průměrný počet zaměstnanců v průběhu účetního období</w:t>
        </w:r>
      </w:hyperlink>
    </w:p>
    <w:p w14:paraId="4BF64185" w14:textId="77777777" w:rsidR="00E46940" w:rsidRDefault="003A65C1">
      <w:pPr>
        <w:pStyle w:val="Obsah1"/>
      </w:pPr>
      <w:hyperlink w:anchor="_Toc438559030" w:history="1">
        <w:r w:rsidR="0049643E">
          <w:rPr>
            <w:rStyle w:val="Hypertextovodkaz"/>
          </w:rPr>
          <w:t>6.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Informace o nabytí vlastních akcií nebo vlastních podílů</w:t>
        </w:r>
      </w:hyperlink>
    </w:p>
    <w:p w14:paraId="413C6575" w14:textId="77777777" w:rsidR="00E46940" w:rsidRDefault="003A65C1">
      <w:pPr>
        <w:pStyle w:val="Obsah1"/>
      </w:pPr>
      <w:hyperlink w:anchor="_Toc438559031" w:history="1">
        <w:r w:rsidR="0049643E">
          <w:rPr>
            <w:rStyle w:val="Hypertextovodkaz"/>
          </w:rPr>
          <w:t>7.</w:t>
        </w:r>
        <w:r w:rsidR="0049643E">
          <w:rPr>
            <w:rFonts w:eastAsia="Times New Roman"/>
            <w:sz w:val="22"/>
            <w:szCs w:val="22"/>
            <w:lang w:eastAsia="cs-CZ"/>
          </w:rPr>
          <w:tab/>
        </w:r>
        <w:r w:rsidR="0049643E">
          <w:rPr>
            <w:rStyle w:val="Hypertextovodkaz"/>
          </w:rPr>
          <w:t>Významné události mezi rozvahovým dnem a okamžikem sestavení účetní závěrky</w:t>
        </w:r>
      </w:hyperlink>
    </w:p>
    <w:p w14:paraId="450D00B0" w14:textId="77777777" w:rsidR="00E46940" w:rsidRDefault="0049643E">
      <w:pPr>
        <w:pStyle w:val="Obsah1"/>
      </w:pPr>
      <w:r>
        <w:rPr>
          <w:color w:val="0000FF"/>
          <w:u w:val="single"/>
        </w:rPr>
        <w:fldChar w:fldCharType="end"/>
      </w:r>
    </w:p>
    <w:p w14:paraId="1EE028D8" w14:textId="77777777" w:rsidR="00E46940" w:rsidRDefault="00E46940"/>
    <w:p w14:paraId="188BB632" w14:textId="77777777" w:rsidR="00E46940" w:rsidRDefault="00E46940"/>
    <w:p w14:paraId="42D959D5" w14:textId="77777777" w:rsidR="00E46940" w:rsidRDefault="00E46940"/>
    <w:p w14:paraId="275806AA" w14:textId="77777777" w:rsidR="00E46940" w:rsidRDefault="00E46940"/>
    <w:p w14:paraId="770469C4" w14:textId="77777777" w:rsidR="00E46940" w:rsidRDefault="00E46940"/>
    <w:p w14:paraId="7F5A8560" w14:textId="77777777" w:rsidR="00E46940" w:rsidRDefault="00E46940"/>
    <w:p w14:paraId="4EBBB9C5" w14:textId="77777777" w:rsidR="00E46940" w:rsidRDefault="0049643E">
      <w:pPr>
        <w:pStyle w:val="Nadpis1"/>
      </w:pPr>
      <w:bookmarkStart w:id="0" w:name="_Toc297025039"/>
      <w:bookmarkStart w:id="1" w:name="_Toc297025068"/>
      <w:bookmarkStart w:id="2" w:name="_Toc297025216"/>
      <w:bookmarkStart w:id="3" w:name="_Toc297025395"/>
      <w:bookmarkStart w:id="4" w:name="_Toc297025536"/>
      <w:bookmarkStart w:id="5" w:name="_Toc297029771"/>
      <w:bookmarkStart w:id="6" w:name="_Toc297029810"/>
      <w:bookmarkStart w:id="7" w:name="_Toc297106456"/>
      <w:bookmarkStart w:id="8" w:name="_Toc297112135"/>
      <w:bookmarkStart w:id="9" w:name="_Toc297117319"/>
      <w:bookmarkStart w:id="10" w:name="_Toc297117332"/>
      <w:bookmarkStart w:id="11" w:name="_Toc297117345"/>
      <w:bookmarkStart w:id="12" w:name="_Toc297117358"/>
      <w:bookmarkStart w:id="13" w:name="_Toc297117377"/>
      <w:bookmarkStart w:id="14" w:name="_Toc297121704"/>
      <w:bookmarkStart w:id="15" w:name="_Toc304191914"/>
      <w:bookmarkStart w:id="16" w:name="_Toc304191927"/>
      <w:bookmarkStart w:id="17" w:name="_Toc304192024"/>
      <w:bookmarkStart w:id="18" w:name="_Toc304192037"/>
      <w:bookmarkStart w:id="19" w:name="_Toc304294012"/>
      <w:bookmarkStart w:id="20" w:name="_Toc304294608"/>
      <w:bookmarkStart w:id="21" w:name="_Toc438216068"/>
      <w:bookmarkStart w:id="22" w:name="_Toc438557857"/>
      <w:bookmarkStart w:id="23" w:name="_Toc438559025"/>
      <w:r>
        <w:lastRenderedPageBreak/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2D2AB30" w14:textId="77777777" w:rsidR="00E46940" w:rsidRDefault="00E46940">
      <w:pPr>
        <w:autoSpaceDE w:val="0"/>
        <w:spacing w:after="0" w:line="240" w:lineRule="auto"/>
        <w:ind w:left="708"/>
        <w:rPr>
          <w:rFonts w:cs="Calibri"/>
          <w:b/>
          <w:bCs/>
        </w:rPr>
      </w:pPr>
    </w:p>
    <w:p w14:paraId="36FE0424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Česká vodohospodářská s.r.o.</w:t>
      </w:r>
    </w:p>
    <w:p w14:paraId="49F1994B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Hlinská  456/2, PSČ 370 01, České Budějovice 1</w:t>
      </w:r>
    </w:p>
    <w:p w14:paraId="54929F45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s.r.o.</w:t>
      </w:r>
    </w:p>
    <w:p w14:paraId="17F50FC8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26868393</w:t>
      </w:r>
    </w:p>
    <w:p w14:paraId="2F6B2CD8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="00A86060">
        <w:rPr>
          <w:rFonts w:ascii="Arial" w:hAnsi="Arial" w:cs="Arial"/>
          <w:color w:val="333333"/>
          <w:sz w:val="18"/>
          <w:szCs w:val="18"/>
        </w:rPr>
        <w:t xml:space="preserve">OSTATNÍ INŽENÝRSKÉ ČINNOSTI A SOUVISEJÍCÍ TECHNICKÉ PORADENSTVÍ </w:t>
      </w:r>
    </w:p>
    <w:p w14:paraId="3DA4355B" w14:textId="77777777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</w:p>
    <w:p w14:paraId="5F9FCA8F" w14:textId="0976A96D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od 1.1.20</w:t>
      </w:r>
      <w:r w:rsidR="00350ADD">
        <w:rPr>
          <w:rFonts w:cs="Calibri"/>
        </w:rPr>
        <w:t>2</w:t>
      </w:r>
      <w:r w:rsidR="00B55CE5">
        <w:rPr>
          <w:rFonts w:cs="Calibri"/>
        </w:rPr>
        <w:t>1</w:t>
      </w:r>
      <w:r>
        <w:rPr>
          <w:rFonts w:cs="Calibri"/>
        </w:rPr>
        <w:t xml:space="preserve"> do 31.12.20</w:t>
      </w:r>
      <w:r w:rsidR="00350ADD">
        <w:rPr>
          <w:rFonts w:cs="Calibri"/>
        </w:rPr>
        <w:t>2</w:t>
      </w:r>
      <w:r w:rsidR="00B55CE5">
        <w:rPr>
          <w:rFonts w:cs="Calibri"/>
        </w:rPr>
        <w:t>1</w:t>
      </w:r>
    </w:p>
    <w:p w14:paraId="102ABC60" w14:textId="63352855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31.12.20</w:t>
      </w:r>
      <w:r w:rsidR="00350ADD">
        <w:rPr>
          <w:rFonts w:cs="Calibri"/>
        </w:rPr>
        <w:t>2</w:t>
      </w:r>
      <w:r w:rsidR="00B55CE5">
        <w:rPr>
          <w:rFonts w:cs="Calibri"/>
        </w:rPr>
        <w:t>1</w:t>
      </w:r>
    </w:p>
    <w:p w14:paraId="52895BFB" w14:textId="2F6A93A6" w:rsidR="00E46940" w:rsidRDefault="0049643E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</w:r>
      <w:r>
        <w:rPr>
          <w:rFonts w:cs="Calibri"/>
        </w:rPr>
        <w:tab/>
      </w:r>
      <w:r w:rsidR="00350ADD">
        <w:rPr>
          <w:rFonts w:cs="Calibri"/>
        </w:rPr>
        <w:t>2</w:t>
      </w:r>
      <w:r w:rsidR="00B55CE5">
        <w:rPr>
          <w:rFonts w:cs="Calibri"/>
        </w:rPr>
        <w:t>4.4.2022</w:t>
      </w:r>
    </w:p>
    <w:p w14:paraId="7A9A935B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17140ED6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789D61F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DE84DCE" w14:textId="77777777" w:rsidR="00E46940" w:rsidRDefault="0049643E">
      <w:pPr>
        <w:pStyle w:val="Nadpis1"/>
      </w:pPr>
      <w:bookmarkStart w:id="24" w:name="_Toc438216069"/>
      <w:bookmarkStart w:id="25" w:name="_Toc438557858"/>
      <w:bookmarkStart w:id="26" w:name="_Toc438559026"/>
      <w:r>
        <w:t>Použité obecné účetní zásady, účetní metody a odchylky od těchto metod</w:t>
      </w:r>
      <w:bookmarkEnd w:id="24"/>
      <w:bookmarkEnd w:id="25"/>
      <w:bookmarkEnd w:id="26"/>
    </w:p>
    <w:p w14:paraId="53FDE36D" w14:textId="77777777" w:rsidR="00A86060" w:rsidRDefault="00A86060" w:rsidP="00A86060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  <w:r>
        <w:rPr>
          <w:rFonts w:cs="Calibri"/>
          <w:bCs/>
        </w:rPr>
        <w:t>Účetní jednotka postupuje v souladu se Zákonem o účetnictví, účtovou osnovou a předpisy pro podvojné účetnictví podnikatelů, zejména vyhláškou č. 500/2002 Sb., kterou se provádějí některá ustanovení zákona č. 563/1991 Sb. o účetnictví, pro účetní jednotky, které jsou podnikateli účtujícími v soustavě podvojného účetnictví, v platném znění a Českými účetními standardy pro podnikatele v platném znění.</w:t>
      </w:r>
    </w:p>
    <w:p w14:paraId="4E0AB5B9" w14:textId="77777777" w:rsidR="00A86060" w:rsidRDefault="00A86060" w:rsidP="00A86060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</w:p>
    <w:p w14:paraId="0BEA4DFB" w14:textId="77777777" w:rsidR="00E46940" w:rsidRDefault="00A86060" w:rsidP="00A86060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  <w:r>
        <w:rPr>
          <w:rFonts w:cs="Calibri"/>
          <w:bCs/>
        </w:rPr>
        <w:t>Účetnictví respektuje obecné účetní zásady, především zásadu oceňování majetku, zásadu účtování ve věcné a časové souvislosti, zásadu opatrnosti a předpoklad o schopnosti účetní jednotky pokračovat ve svých aktivitách</w:t>
      </w:r>
    </w:p>
    <w:p w14:paraId="36BE4C82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D89E527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E28DF68" w14:textId="77777777" w:rsidR="00E46940" w:rsidRDefault="0049643E">
      <w:pPr>
        <w:pStyle w:val="Nadpis2"/>
      </w:pPr>
      <w:r>
        <w:t>Způsob oceňování majetku a závazků</w:t>
      </w:r>
    </w:p>
    <w:p w14:paraId="310F9B9B" w14:textId="77777777" w:rsidR="00E46940" w:rsidRDefault="00A86060" w:rsidP="00A86060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  <w:r>
        <w:rPr>
          <w:rFonts w:cs="Calibri"/>
          <w:bCs/>
        </w:rPr>
        <w:t>Majetek a závazky jsou oceňovány pořizovací cenou</w:t>
      </w:r>
    </w:p>
    <w:p w14:paraId="3ED168D8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2AFF0A7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2AFE367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0B3AAC2" w14:textId="77777777" w:rsidR="00E46940" w:rsidRDefault="0049643E">
      <w:pPr>
        <w:pStyle w:val="Nadpis2"/>
      </w:pPr>
      <w:r>
        <w:t>Způsob stanovení úprav hodnot majetku (odpisy a opravné položky)</w:t>
      </w:r>
    </w:p>
    <w:p w14:paraId="27AA91C5" w14:textId="77777777" w:rsidR="00A86060" w:rsidRDefault="00A86060" w:rsidP="00A86060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  <w:r>
        <w:rPr>
          <w:rFonts w:cs="Calibri"/>
          <w:bCs/>
        </w:rPr>
        <w:t>Majetek je odepisován dle zákona 586/1992 Sb., o daních z příjmů v platném znění. Opravné položky nejsou tvořeny</w:t>
      </w:r>
    </w:p>
    <w:p w14:paraId="55A6FC5F" w14:textId="77777777" w:rsidR="00E46940" w:rsidRDefault="00E46940" w:rsidP="00A86060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</w:p>
    <w:p w14:paraId="022C9F22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4E18DEF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C0EAE3E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A3F55A2" w14:textId="77777777" w:rsidR="00E46940" w:rsidRDefault="0049643E">
      <w:pPr>
        <w:pStyle w:val="Nadpis2"/>
      </w:pPr>
      <w:r>
        <w:t>Způsob přepočtu údajů v cizích měnách na českou měnu</w:t>
      </w:r>
    </w:p>
    <w:p w14:paraId="2AC4FF98" w14:textId="77777777" w:rsidR="00E46940" w:rsidRDefault="00A86060" w:rsidP="00A86060">
      <w:pPr>
        <w:autoSpaceDE w:val="0"/>
        <w:spacing w:after="0" w:line="240" w:lineRule="auto"/>
        <w:ind w:left="624"/>
        <w:jc w:val="both"/>
        <w:rPr>
          <w:rFonts w:cs="Calibri"/>
          <w:bCs/>
        </w:rPr>
      </w:pPr>
      <w:r>
        <w:rPr>
          <w:rFonts w:cs="Calibri"/>
          <w:bCs/>
        </w:rPr>
        <w:t>V případě použití cizí měny se používá denní kurz ČNB</w:t>
      </w:r>
    </w:p>
    <w:p w14:paraId="68BE0A66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5DA1E2CA" w14:textId="77777777" w:rsidR="00E46940" w:rsidRPr="00A86060" w:rsidRDefault="00E46940" w:rsidP="00A86060">
      <w:pPr>
        <w:pStyle w:val="Nadpis2"/>
        <w:numPr>
          <w:ilvl w:val="0"/>
          <w:numId w:val="0"/>
        </w:numPr>
      </w:pPr>
    </w:p>
    <w:p w14:paraId="26864344" w14:textId="77777777" w:rsidR="00E46940" w:rsidRDefault="0049643E">
      <w:pPr>
        <w:pStyle w:val="Nadpis1"/>
      </w:pPr>
      <w:bookmarkStart w:id="27" w:name="_Toc438216070"/>
      <w:bookmarkStart w:id="28" w:name="_Toc438557859"/>
      <w:bookmarkStart w:id="29" w:name="_Toc438559027"/>
      <w:r>
        <w:t>Informace k položkám závazkových vztahů</w:t>
      </w:r>
      <w:bookmarkEnd w:id="27"/>
      <w:bookmarkEnd w:id="28"/>
      <w:bookmarkEnd w:id="29"/>
      <w:r>
        <w:t xml:space="preserve"> </w:t>
      </w:r>
    </w:p>
    <w:p w14:paraId="07CF400E" w14:textId="77777777" w:rsidR="00E46940" w:rsidRDefault="00E46940">
      <w:pPr>
        <w:autoSpaceDE w:val="0"/>
        <w:spacing w:after="0" w:line="240" w:lineRule="auto"/>
        <w:rPr>
          <w:rFonts w:cs="Calibri"/>
          <w:b/>
          <w:bCs/>
        </w:rPr>
      </w:pPr>
    </w:p>
    <w:p w14:paraId="34D8FCFA" w14:textId="77777777" w:rsidR="00E46940" w:rsidRDefault="0049643E">
      <w:pPr>
        <w:pStyle w:val="Nadpis2"/>
      </w:pPr>
      <w:r>
        <w:t>Závazkové vztahy (pohledávky a dluhy), které k rozvahovému dni mají dobu splatnosti delší než 5 let</w:t>
      </w:r>
    </w:p>
    <w:p w14:paraId="036DDCE3" w14:textId="77777777" w:rsidR="00E46940" w:rsidRDefault="00A86060" w:rsidP="00A86060">
      <w:pPr>
        <w:autoSpaceDE w:val="0"/>
        <w:spacing w:after="0"/>
        <w:ind w:left="624"/>
        <w:jc w:val="both"/>
        <w:rPr>
          <w:rFonts w:cs="Calibri"/>
          <w:bCs/>
        </w:rPr>
      </w:pPr>
      <w:r>
        <w:rPr>
          <w:rFonts w:cs="Calibri"/>
          <w:bCs/>
        </w:rPr>
        <w:t>Společnost nemá závazkové vztahy se splatností delší než 5 let</w:t>
      </w:r>
    </w:p>
    <w:p w14:paraId="10E68383" w14:textId="77777777" w:rsidR="00E46940" w:rsidRDefault="00E46940">
      <w:pPr>
        <w:autoSpaceDE w:val="0"/>
        <w:spacing w:after="0"/>
        <w:jc w:val="both"/>
        <w:rPr>
          <w:rFonts w:cs="Calibri"/>
          <w:bCs/>
        </w:rPr>
      </w:pPr>
    </w:p>
    <w:p w14:paraId="764FF9C6" w14:textId="77777777" w:rsidR="00E46940" w:rsidRDefault="0049643E">
      <w:pPr>
        <w:pStyle w:val="Nadpis2"/>
      </w:pPr>
      <w:r>
        <w:lastRenderedPageBreak/>
        <w:t>Závazkové vztahy (pohledávky a dluhy), které jsou kryty věcnými zárukami</w:t>
      </w:r>
    </w:p>
    <w:p w14:paraId="752E222E" w14:textId="77777777" w:rsidR="00E46940" w:rsidRDefault="00A86060" w:rsidP="00A86060">
      <w:pPr>
        <w:spacing w:after="0"/>
        <w:ind w:left="624"/>
      </w:pPr>
      <w:r>
        <w:t>Nejsou</w:t>
      </w:r>
    </w:p>
    <w:p w14:paraId="2D721DDE" w14:textId="77777777" w:rsidR="00E46940" w:rsidRDefault="00E46940">
      <w:pPr>
        <w:spacing w:after="0"/>
      </w:pPr>
    </w:p>
    <w:p w14:paraId="0DF08AB8" w14:textId="77777777" w:rsidR="00E46940" w:rsidRDefault="0049643E">
      <w:pPr>
        <w:pStyle w:val="Nadpis2"/>
      </w:pPr>
      <w:r>
        <w:t>Zálohy, závdavky, zápůjčky a úvěry poskytnuté členům řídících, kontrolních a případně správních orgánů</w:t>
      </w:r>
    </w:p>
    <w:p w14:paraId="600669BE" w14:textId="77777777" w:rsidR="00E46940" w:rsidRDefault="00A86060" w:rsidP="00A86060">
      <w:pPr>
        <w:spacing w:after="0"/>
        <w:ind w:left="624"/>
      </w:pPr>
      <w:r>
        <w:t>Nejsou</w:t>
      </w:r>
    </w:p>
    <w:p w14:paraId="4A0D490E" w14:textId="77777777" w:rsidR="00E46940" w:rsidRDefault="00E46940">
      <w:pPr>
        <w:spacing w:after="0"/>
      </w:pPr>
    </w:p>
    <w:p w14:paraId="7AB873A7" w14:textId="77777777" w:rsidR="00E46940" w:rsidRDefault="0049643E">
      <w:pPr>
        <w:pStyle w:val="Nadpis2"/>
      </w:pPr>
      <w:r>
        <w:t>Závazkové vztahy (pohledávky a dluhy), podmíněné závazkové vztahy a poskytnuté věcné záruky, které nejsou vykázány v rozvaze</w:t>
      </w:r>
    </w:p>
    <w:p w14:paraId="1139B825" w14:textId="77777777" w:rsidR="00E46940" w:rsidRDefault="00A86060" w:rsidP="00A86060">
      <w:pPr>
        <w:spacing w:after="0"/>
        <w:ind w:left="624"/>
      </w:pPr>
      <w:r>
        <w:t>Nejsou</w:t>
      </w:r>
    </w:p>
    <w:p w14:paraId="29C5080C" w14:textId="77777777" w:rsidR="00E46940" w:rsidRDefault="00E46940">
      <w:pPr>
        <w:spacing w:after="0"/>
      </w:pPr>
    </w:p>
    <w:p w14:paraId="06D271F4" w14:textId="77777777" w:rsidR="00E46940" w:rsidRDefault="0049643E">
      <w:pPr>
        <w:pStyle w:val="Nadpis2"/>
      </w:pPr>
      <w:r>
        <w:t>Penzijní závazky a závazky vůči účetním jednotkám v konsolidačním celku a přidruženým účetním jednotkám</w:t>
      </w:r>
    </w:p>
    <w:p w14:paraId="526A5CF4" w14:textId="77777777" w:rsidR="00E46940" w:rsidRDefault="00A86060" w:rsidP="00A86060">
      <w:pPr>
        <w:spacing w:after="0"/>
        <w:ind w:left="624"/>
      </w:pPr>
      <w:r>
        <w:t>Nejsou</w:t>
      </w:r>
    </w:p>
    <w:p w14:paraId="1D81EC95" w14:textId="77777777" w:rsidR="00E46940" w:rsidRDefault="00E46940">
      <w:pPr>
        <w:spacing w:after="0"/>
      </w:pPr>
    </w:p>
    <w:p w14:paraId="1C5DD0B8" w14:textId="77777777" w:rsidR="00E46940" w:rsidRDefault="0049643E">
      <w:pPr>
        <w:pStyle w:val="Nadpis1"/>
      </w:pPr>
      <w:bookmarkStart w:id="30" w:name="_Toc438216071"/>
      <w:bookmarkStart w:id="31" w:name="_Toc438557860"/>
      <w:bookmarkStart w:id="32" w:name="_Toc438559028"/>
      <w:r>
        <w:t>Výše a povaha jednotlivých položek výnosů a nákladů, které jsou mimořádné svým objemem nebo původem</w:t>
      </w:r>
      <w:bookmarkEnd w:id="30"/>
      <w:bookmarkEnd w:id="31"/>
      <w:bookmarkEnd w:id="32"/>
    </w:p>
    <w:p w14:paraId="561CEC59" w14:textId="77777777" w:rsidR="00E46940" w:rsidRDefault="00A86060" w:rsidP="00A86060">
      <w:pPr>
        <w:spacing w:after="0"/>
        <w:ind w:left="360"/>
      </w:pPr>
      <w:r>
        <w:t>Nejsou</w:t>
      </w:r>
    </w:p>
    <w:p w14:paraId="536796D0" w14:textId="77777777" w:rsidR="00E46940" w:rsidRDefault="00E46940">
      <w:pPr>
        <w:spacing w:after="0"/>
      </w:pPr>
    </w:p>
    <w:p w14:paraId="48119C21" w14:textId="77777777" w:rsidR="00E46940" w:rsidRDefault="0049643E">
      <w:pPr>
        <w:pStyle w:val="Nadpis1"/>
      </w:pPr>
      <w:bookmarkStart w:id="33" w:name="_Toc438216072"/>
      <w:bookmarkStart w:id="34" w:name="_Toc438557861"/>
      <w:bookmarkStart w:id="35" w:name="_Toc438559029"/>
      <w:r>
        <w:t>Průměrný počet zaměstnanců v průběhu účetního období</w:t>
      </w:r>
      <w:bookmarkEnd w:id="33"/>
      <w:bookmarkEnd w:id="34"/>
      <w:bookmarkEnd w:id="35"/>
      <w:r>
        <w:t xml:space="preserve"> </w:t>
      </w:r>
    </w:p>
    <w:p w14:paraId="669F6D69" w14:textId="4AAF22FF" w:rsidR="00A86060" w:rsidRDefault="00A86060" w:rsidP="00A86060">
      <w:pPr>
        <w:spacing w:after="0"/>
        <w:ind w:left="360"/>
      </w:pPr>
      <w:r>
        <w:t>Průměrný počet zaměstnanců v roce 20</w:t>
      </w:r>
      <w:r w:rsidR="00B55CE5">
        <w:t>21</w:t>
      </w:r>
      <w:r>
        <w:t xml:space="preserve"> činil </w:t>
      </w:r>
      <w:r w:rsidR="00B55CE5">
        <w:t xml:space="preserve">3 </w:t>
      </w:r>
      <w:r>
        <w:t>zaměstna</w:t>
      </w:r>
      <w:r w:rsidR="00B55CE5">
        <w:t>nce</w:t>
      </w:r>
      <w:r>
        <w:t>.</w:t>
      </w:r>
    </w:p>
    <w:p w14:paraId="5634A68E" w14:textId="77777777" w:rsidR="00E46940" w:rsidRDefault="00E46940">
      <w:pPr>
        <w:spacing w:after="0"/>
      </w:pPr>
    </w:p>
    <w:p w14:paraId="3CE67E7C" w14:textId="77777777" w:rsidR="00E46940" w:rsidRDefault="0049643E">
      <w:pPr>
        <w:pStyle w:val="Nadpis1"/>
      </w:pPr>
      <w:bookmarkStart w:id="36" w:name="_Toc438559030"/>
      <w:r>
        <w:t>Informace o nabytí vlastních akcií nebo vlastních podílů</w:t>
      </w:r>
      <w:bookmarkEnd w:id="36"/>
    </w:p>
    <w:p w14:paraId="718F4046" w14:textId="77777777" w:rsidR="00E46940" w:rsidRDefault="00A86060" w:rsidP="00A86060">
      <w:pPr>
        <w:spacing w:after="0"/>
        <w:ind w:left="360"/>
      </w:pPr>
      <w:r>
        <w:t>Nejsou</w:t>
      </w:r>
    </w:p>
    <w:p w14:paraId="1FB8FA99" w14:textId="77777777" w:rsidR="00E46940" w:rsidRDefault="00E46940">
      <w:pPr>
        <w:spacing w:after="0"/>
      </w:pPr>
    </w:p>
    <w:p w14:paraId="167284E5" w14:textId="77777777" w:rsidR="00E46940" w:rsidRDefault="0049643E">
      <w:pPr>
        <w:pStyle w:val="Nadpis1"/>
      </w:pPr>
      <w:bookmarkStart w:id="37" w:name="_Toc438216082"/>
      <w:bookmarkStart w:id="38" w:name="_Toc438557862"/>
      <w:bookmarkStart w:id="39" w:name="_Toc438559031"/>
      <w:r>
        <w:t>Významné události mezi rozvahovým dnem a okamžikem sestavení účetní závěrky</w:t>
      </w:r>
      <w:bookmarkEnd w:id="37"/>
      <w:bookmarkEnd w:id="38"/>
      <w:bookmarkEnd w:id="39"/>
    </w:p>
    <w:p w14:paraId="4260F957" w14:textId="77777777" w:rsidR="00A86060" w:rsidRDefault="00A86060" w:rsidP="00A86060">
      <w:pPr>
        <w:autoSpaceDE w:val="0"/>
        <w:spacing w:after="0" w:line="24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Od okamžiku sestavení účetní závěrky nedošlo k významným událostem.</w:t>
      </w:r>
    </w:p>
    <w:p w14:paraId="1D4A68A2" w14:textId="77777777" w:rsidR="00E46940" w:rsidRDefault="00E4694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A9CC327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7AF780C3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0413B1A1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0292197A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39E80256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14AE6CBF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436A5CD8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62789326" w14:textId="1CC57EE0" w:rsidR="00E46940" w:rsidRDefault="0049643E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Sestaveno dne: </w:t>
      </w:r>
      <w:r w:rsidR="00350ADD">
        <w:rPr>
          <w:rFonts w:cs="Calibri"/>
          <w:bCs/>
        </w:rPr>
        <w:t>2</w:t>
      </w:r>
      <w:r w:rsidR="00B55CE5">
        <w:rPr>
          <w:rFonts w:cs="Calibri"/>
          <w:bCs/>
        </w:rPr>
        <w:t>4.4.2022</w:t>
      </w:r>
    </w:p>
    <w:p w14:paraId="46B1F9FD" w14:textId="77777777" w:rsidR="00E46940" w:rsidRDefault="00E46940">
      <w:pPr>
        <w:autoSpaceDE w:val="0"/>
        <w:spacing w:after="0" w:line="240" w:lineRule="auto"/>
        <w:rPr>
          <w:rFonts w:cs="Calibri"/>
          <w:bCs/>
        </w:rPr>
      </w:pPr>
    </w:p>
    <w:p w14:paraId="34D028F1" w14:textId="77777777" w:rsidR="00E46940" w:rsidRDefault="0049643E">
      <w:pPr>
        <w:autoSpaceDE w:val="0"/>
        <w:spacing w:after="0" w:line="240" w:lineRule="auto"/>
      </w:pPr>
      <w:r>
        <w:rPr>
          <w:rFonts w:cs="Calibri"/>
          <w:bCs/>
        </w:rPr>
        <w:t>Sestavil:</w:t>
      </w:r>
      <w:r w:rsidR="00A86060">
        <w:rPr>
          <w:rFonts w:cs="Calibri"/>
          <w:bCs/>
        </w:rPr>
        <w:t xml:space="preserve"> Ing. Kamil Rucký - jednatel</w:t>
      </w:r>
    </w:p>
    <w:sectPr w:rsidR="00E469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A39E" w14:textId="77777777" w:rsidR="003A65C1" w:rsidRDefault="003A65C1">
      <w:pPr>
        <w:spacing w:after="0" w:line="240" w:lineRule="auto"/>
      </w:pPr>
      <w:r>
        <w:separator/>
      </w:r>
    </w:p>
  </w:endnote>
  <w:endnote w:type="continuationSeparator" w:id="0">
    <w:p w14:paraId="3801467E" w14:textId="77777777" w:rsidR="003A65C1" w:rsidRDefault="003A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85FC" w14:textId="77777777" w:rsidR="00713194" w:rsidRDefault="0049643E">
    <w:pPr>
      <w:pStyle w:val="Zpat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90E22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46FDE3BF" w14:textId="77777777" w:rsidR="00713194" w:rsidRDefault="003A6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E07B" w14:textId="77777777" w:rsidR="003A65C1" w:rsidRDefault="003A65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85BB9A" w14:textId="77777777" w:rsidR="003A65C1" w:rsidRDefault="003A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821D" w14:textId="77777777"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sz w:val="18"/>
        <w:szCs w:val="18"/>
      </w:rPr>
      <w:t>Příloha v účetní závěrce ve zkráceném rozsahu</w:t>
    </w:r>
  </w:p>
  <w:p w14:paraId="4E96754A" w14:textId="77777777"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Korporace Česká vodohospodářská s.r.o.</w:t>
    </w:r>
  </w:p>
  <w:p w14:paraId="7D1E8127" w14:textId="693A1537" w:rsidR="00713194" w:rsidRDefault="0049643E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ke dni 31.12.20</w:t>
    </w:r>
    <w:r w:rsidR="00350ADD">
      <w:rPr>
        <w:sz w:val="18"/>
        <w:szCs w:val="18"/>
      </w:rPr>
      <w:t>2</w:t>
    </w:r>
    <w:r w:rsidR="00B55CE5">
      <w:rPr>
        <w:sz w:val="18"/>
        <w:szCs w:val="18"/>
      </w:rPr>
      <w:t>1</w:t>
    </w:r>
  </w:p>
  <w:p w14:paraId="164DBD3E" w14:textId="77777777" w:rsidR="00713194" w:rsidRDefault="003A65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147"/>
    <w:multiLevelType w:val="multilevel"/>
    <w:tmpl w:val="6A84BB20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EB2208"/>
    <w:multiLevelType w:val="multilevel"/>
    <w:tmpl w:val="807CAF60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4C0036"/>
    <w:multiLevelType w:val="multilevel"/>
    <w:tmpl w:val="9AF8C8CA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BE6416"/>
    <w:multiLevelType w:val="multilevel"/>
    <w:tmpl w:val="B4AA731C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DC427F"/>
    <w:multiLevelType w:val="multilevel"/>
    <w:tmpl w:val="9C90BBB8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B934A1"/>
    <w:multiLevelType w:val="multilevel"/>
    <w:tmpl w:val="9CCE0450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72ACC"/>
    <w:multiLevelType w:val="multilevel"/>
    <w:tmpl w:val="F9026546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1986EE6"/>
    <w:multiLevelType w:val="multilevel"/>
    <w:tmpl w:val="6D7830B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6B70370"/>
    <w:multiLevelType w:val="multilevel"/>
    <w:tmpl w:val="04CC6246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6A580C"/>
    <w:multiLevelType w:val="multilevel"/>
    <w:tmpl w:val="25E07196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19E2B89"/>
    <w:multiLevelType w:val="multilevel"/>
    <w:tmpl w:val="E5C67CB8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9B7602"/>
    <w:multiLevelType w:val="multilevel"/>
    <w:tmpl w:val="0606512E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A9117AA"/>
    <w:multiLevelType w:val="multilevel"/>
    <w:tmpl w:val="2672518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EC9691C"/>
    <w:multiLevelType w:val="multilevel"/>
    <w:tmpl w:val="4776EF88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1824F61"/>
    <w:multiLevelType w:val="multilevel"/>
    <w:tmpl w:val="088E84A2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36F44CB"/>
    <w:multiLevelType w:val="multilevel"/>
    <w:tmpl w:val="C5CE2A00"/>
    <w:styleLink w:val="WWOutlineListStyle31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477E6496"/>
    <w:multiLevelType w:val="multilevel"/>
    <w:tmpl w:val="18249A9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518234EE"/>
    <w:multiLevelType w:val="multilevel"/>
    <w:tmpl w:val="A5729CF6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52FE115B"/>
    <w:multiLevelType w:val="multilevel"/>
    <w:tmpl w:val="2928704C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4D115FD"/>
    <w:multiLevelType w:val="multilevel"/>
    <w:tmpl w:val="9A181AD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0" w15:restartNumberingAfterBreak="0">
    <w:nsid w:val="58642A48"/>
    <w:multiLevelType w:val="multilevel"/>
    <w:tmpl w:val="8B5CA9A4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9C5217F"/>
    <w:multiLevelType w:val="multilevel"/>
    <w:tmpl w:val="5FA6EA40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A0537D2"/>
    <w:multiLevelType w:val="multilevel"/>
    <w:tmpl w:val="42FE6CFA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604A5278"/>
    <w:multiLevelType w:val="multilevel"/>
    <w:tmpl w:val="FE64EE26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1136767"/>
    <w:multiLevelType w:val="multilevel"/>
    <w:tmpl w:val="54A6BDC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4457EE6"/>
    <w:multiLevelType w:val="multilevel"/>
    <w:tmpl w:val="017E90CA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6DC4E5A"/>
    <w:multiLevelType w:val="multilevel"/>
    <w:tmpl w:val="3DDC7E54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D300F85"/>
    <w:multiLevelType w:val="multilevel"/>
    <w:tmpl w:val="352EA244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D5B7B36"/>
    <w:multiLevelType w:val="multilevel"/>
    <w:tmpl w:val="44FABAEE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FD344F7"/>
    <w:multiLevelType w:val="multilevel"/>
    <w:tmpl w:val="FC8C280A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40E0D8F"/>
    <w:multiLevelType w:val="multilevel"/>
    <w:tmpl w:val="9B78BA12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A3D427F"/>
    <w:multiLevelType w:val="multilevel"/>
    <w:tmpl w:val="A4C0C676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CF519C3"/>
    <w:multiLevelType w:val="multilevel"/>
    <w:tmpl w:val="2D30D14C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49426236">
    <w:abstractNumId w:val="15"/>
  </w:num>
  <w:num w:numId="2" w16cid:durableId="406079261">
    <w:abstractNumId w:val="18"/>
  </w:num>
  <w:num w:numId="3" w16cid:durableId="474418066">
    <w:abstractNumId w:val="14"/>
  </w:num>
  <w:num w:numId="4" w16cid:durableId="857305242">
    <w:abstractNumId w:val="28"/>
  </w:num>
  <w:num w:numId="5" w16cid:durableId="184440023">
    <w:abstractNumId w:val="29"/>
  </w:num>
  <w:num w:numId="6" w16cid:durableId="1931115647">
    <w:abstractNumId w:val="12"/>
  </w:num>
  <w:num w:numId="7" w16cid:durableId="1733890157">
    <w:abstractNumId w:val="17"/>
  </w:num>
  <w:num w:numId="8" w16cid:durableId="222721647">
    <w:abstractNumId w:val="0"/>
  </w:num>
  <w:num w:numId="9" w16cid:durableId="1987003600">
    <w:abstractNumId w:val="8"/>
  </w:num>
  <w:num w:numId="10" w16cid:durableId="1912277961">
    <w:abstractNumId w:val="21"/>
  </w:num>
  <w:num w:numId="11" w16cid:durableId="612900429">
    <w:abstractNumId w:val="7"/>
  </w:num>
  <w:num w:numId="12" w16cid:durableId="489253884">
    <w:abstractNumId w:val="4"/>
  </w:num>
  <w:num w:numId="13" w16cid:durableId="254096129">
    <w:abstractNumId w:val="1"/>
  </w:num>
  <w:num w:numId="14" w16cid:durableId="2119059956">
    <w:abstractNumId w:val="10"/>
  </w:num>
  <w:num w:numId="15" w16cid:durableId="1895971692">
    <w:abstractNumId w:val="6"/>
  </w:num>
  <w:num w:numId="16" w16cid:durableId="1194997632">
    <w:abstractNumId w:val="19"/>
  </w:num>
  <w:num w:numId="17" w16cid:durableId="1438602427">
    <w:abstractNumId w:val="25"/>
  </w:num>
  <w:num w:numId="18" w16cid:durableId="1197502298">
    <w:abstractNumId w:val="5"/>
  </w:num>
  <w:num w:numId="19" w16cid:durableId="1814103567">
    <w:abstractNumId w:val="23"/>
  </w:num>
  <w:num w:numId="20" w16cid:durableId="1394889254">
    <w:abstractNumId w:val="20"/>
  </w:num>
  <w:num w:numId="21" w16cid:durableId="51780280">
    <w:abstractNumId w:val="13"/>
  </w:num>
  <w:num w:numId="22" w16cid:durableId="289434383">
    <w:abstractNumId w:val="26"/>
  </w:num>
  <w:num w:numId="23" w16cid:durableId="887688081">
    <w:abstractNumId w:val="32"/>
  </w:num>
  <w:num w:numId="24" w16cid:durableId="775489381">
    <w:abstractNumId w:val="27"/>
  </w:num>
  <w:num w:numId="25" w16cid:durableId="1430196998">
    <w:abstractNumId w:val="22"/>
  </w:num>
  <w:num w:numId="26" w16cid:durableId="1744914044">
    <w:abstractNumId w:val="9"/>
  </w:num>
  <w:num w:numId="27" w16cid:durableId="675032465">
    <w:abstractNumId w:val="3"/>
  </w:num>
  <w:num w:numId="28" w16cid:durableId="1765220264">
    <w:abstractNumId w:val="16"/>
  </w:num>
  <w:num w:numId="29" w16cid:durableId="1151561178">
    <w:abstractNumId w:val="2"/>
  </w:num>
  <w:num w:numId="30" w16cid:durableId="1433865437">
    <w:abstractNumId w:val="11"/>
  </w:num>
  <w:num w:numId="31" w16cid:durableId="1354527280">
    <w:abstractNumId w:val="30"/>
  </w:num>
  <w:num w:numId="32" w16cid:durableId="212037808">
    <w:abstractNumId w:val="24"/>
  </w:num>
  <w:num w:numId="33" w16cid:durableId="15583909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40"/>
    <w:rsid w:val="00190E22"/>
    <w:rsid w:val="00237C0D"/>
    <w:rsid w:val="00350ADD"/>
    <w:rsid w:val="003A65C1"/>
    <w:rsid w:val="0049643E"/>
    <w:rsid w:val="0052279A"/>
    <w:rsid w:val="00A86060"/>
    <w:rsid w:val="00A95AEA"/>
    <w:rsid w:val="00B55CE5"/>
    <w:rsid w:val="00CA6A0F"/>
    <w:rsid w:val="00D15AD6"/>
    <w:rsid w:val="00D4698C"/>
    <w:rsid w:val="00E46940"/>
    <w:rsid w:val="00E5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4C20"/>
  <w15:docId w15:val="{D66D7244-9A58-4326-844D-C053F13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Odstavecseseznamem"/>
    <w:next w:val="Normln"/>
    <w:pPr>
      <w:numPr>
        <w:numId w:val="1"/>
      </w:numPr>
      <w:autoSpaceDE w:val="0"/>
      <w:spacing w:after="0" w:line="240" w:lineRule="auto"/>
      <w:outlineLvl w:val="0"/>
    </w:pPr>
    <w:rPr>
      <w:rFonts w:cs="Calibri"/>
      <w:b/>
      <w:bCs/>
    </w:rPr>
  </w:style>
  <w:style w:type="paragraph" w:styleId="Nadpis2">
    <w:name w:val="heading 2"/>
    <w:basedOn w:val="Odstavecseseznamem"/>
    <w:next w:val="Normln"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1">
    <w:name w:val="WW_OutlineListStyle_31"/>
    <w:basedOn w:val="Bezseznamu"/>
    <w:pPr>
      <w:numPr>
        <w:numId w:val="1"/>
      </w:numPr>
    </w:pPr>
  </w:style>
  <w:style w:type="paragraph" w:styleId="Obsah1">
    <w:name w:val="toc 1"/>
    <w:basedOn w:val="Normln"/>
    <w:next w:val="Normln"/>
    <w:autoRedefine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ContentsHeading">
    <w:name w:val="Contents Heading"/>
    <w:basedOn w:val="Nadpis1"/>
    <w:next w:val="Normln"/>
    <w:pPr>
      <w:keepNext/>
      <w:keepLines/>
      <w:numPr>
        <w:numId w:val="0"/>
      </w:numPr>
      <w:autoSpaceDE/>
      <w:spacing w:before="480" w:after="200" w:line="276" w:lineRule="auto"/>
    </w:pPr>
    <w:rPr>
      <w:rFonts w:ascii="Cambria" w:eastAsia="Times New Roman" w:hAnsi="Cambria" w:cs="Times New Roman"/>
      <w:color w:val="365F91"/>
      <w:sz w:val="28"/>
      <w:szCs w:val="28"/>
      <w:lang w:eastAsia="cs-CZ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ln"/>
    <w:next w:val="Normln"/>
    <w:autoRedefine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cs="Calibri"/>
      <w:b/>
      <w:bCs/>
    </w:rPr>
  </w:style>
  <w:style w:type="character" w:customStyle="1" w:styleId="Nadpis2Char">
    <w:name w:val="Nadpis 2 Char"/>
    <w:basedOn w:val="Standardnpsmoodstavce"/>
    <w:rPr>
      <w:rFonts w:cs="Calibri"/>
      <w:b/>
      <w:bCs/>
    </w:rPr>
  </w:style>
  <w:style w:type="character" w:customStyle="1" w:styleId="BezmezerChar">
    <w:name w:val="Bez mezer Cha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OutlineListStyle30">
    <w:name w:val="WW_OutlineListStyle_30"/>
    <w:basedOn w:val="Bezseznamu"/>
    <w:pPr>
      <w:numPr>
        <w:numId w:val="2"/>
      </w:numPr>
    </w:pPr>
  </w:style>
  <w:style w:type="numbering" w:customStyle="1" w:styleId="WWOutlineListStyle29">
    <w:name w:val="WW_OutlineListStyle_29"/>
    <w:basedOn w:val="Bezseznamu"/>
    <w:pPr>
      <w:numPr>
        <w:numId w:val="3"/>
      </w:numPr>
    </w:pPr>
  </w:style>
  <w:style w:type="numbering" w:customStyle="1" w:styleId="WWOutlineListStyle28">
    <w:name w:val="WW_OutlineListStyle_28"/>
    <w:basedOn w:val="Bezseznamu"/>
    <w:pPr>
      <w:numPr>
        <w:numId w:val="4"/>
      </w:numPr>
    </w:pPr>
  </w:style>
  <w:style w:type="numbering" w:customStyle="1" w:styleId="WWOutlineListStyle27">
    <w:name w:val="WW_OutlineListStyle_27"/>
    <w:basedOn w:val="Bezseznamu"/>
    <w:pPr>
      <w:numPr>
        <w:numId w:val="5"/>
      </w:numPr>
    </w:pPr>
  </w:style>
  <w:style w:type="numbering" w:customStyle="1" w:styleId="WWOutlineListStyle26">
    <w:name w:val="WW_OutlineListStyle_26"/>
    <w:basedOn w:val="Bezseznamu"/>
    <w:pPr>
      <w:numPr>
        <w:numId w:val="6"/>
      </w:numPr>
    </w:pPr>
  </w:style>
  <w:style w:type="numbering" w:customStyle="1" w:styleId="WWOutlineListStyle25">
    <w:name w:val="WW_OutlineListStyle_25"/>
    <w:basedOn w:val="Bezseznamu"/>
    <w:pPr>
      <w:numPr>
        <w:numId w:val="7"/>
      </w:numPr>
    </w:pPr>
  </w:style>
  <w:style w:type="numbering" w:customStyle="1" w:styleId="WWOutlineListStyle24">
    <w:name w:val="WW_OutlineListStyle_24"/>
    <w:basedOn w:val="Bezseznamu"/>
    <w:pPr>
      <w:numPr>
        <w:numId w:val="8"/>
      </w:numPr>
    </w:pPr>
  </w:style>
  <w:style w:type="numbering" w:customStyle="1" w:styleId="WWOutlineListStyle23">
    <w:name w:val="WW_OutlineListStyle_23"/>
    <w:basedOn w:val="Bezseznamu"/>
    <w:pPr>
      <w:numPr>
        <w:numId w:val="9"/>
      </w:numPr>
    </w:pPr>
  </w:style>
  <w:style w:type="numbering" w:customStyle="1" w:styleId="WWOutlineListStyle22">
    <w:name w:val="WW_OutlineListStyle_22"/>
    <w:basedOn w:val="Bezseznamu"/>
    <w:pPr>
      <w:numPr>
        <w:numId w:val="10"/>
      </w:numPr>
    </w:pPr>
  </w:style>
  <w:style w:type="numbering" w:customStyle="1" w:styleId="WWOutlineListStyle21">
    <w:name w:val="WW_OutlineListStyle_21"/>
    <w:basedOn w:val="Bezseznamu"/>
    <w:pPr>
      <w:numPr>
        <w:numId w:val="11"/>
      </w:numPr>
    </w:pPr>
  </w:style>
  <w:style w:type="numbering" w:customStyle="1" w:styleId="WWOutlineListStyle20">
    <w:name w:val="WW_OutlineListStyle_20"/>
    <w:basedOn w:val="Bezseznamu"/>
    <w:pPr>
      <w:numPr>
        <w:numId w:val="12"/>
      </w:numPr>
    </w:pPr>
  </w:style>
  <w:style w:type="numbering" w:customStyle="1" w:styleId="WWOutlineListStyle19">
    <w:name w:val="WW_OutlineListStyle_19"/>
    <w:basedOn w:val="Bezseznamu"/>
    <w:pPr>
      <w:numPr>
        <w:numId w:val="13"/>
      </w:numPr>
    </w:pPr>
  </w:style>
  <w:style w:type="numbering" w:customStyle="1" w:styleId="WWOutlineListStyle18">
    <w:name w:val="WW_OutlineListStyle_18"/>
    <w:basedOn w:val="Bezseznamu"/>
    <w:pPr>
      <w:numPr>
        <w:numId w:val="14"/>
      </w:numPr>
    </w:pPr>
  </w:style>
  <w:style w:type="numbering" w:customStyle="1" w:styleId="WWOutlineListStyle17">
    <w:name w:val="WW_OutlineListStyle_17"/>
    <w:basedOn w:val="Bezseznamu"/>
    <w:pPr>
      <w:numPr>
        <w:numId w:val="15"/>
      </w:numPr>
    </w:pPr>
  </w:style>
  <w:style w:type="numbering" w:customStyle="1" w:styleId="Outline">
    <w:name w:val="Outline"/>
    <w:basedOn w:val="Bezseznamu"/>
    <w:pPr>
      <w:numPr>
        <w:numId w:val="16"/>
      </w:numPr>
    </w:pPr>
  </w:style>
  <w:style w:type="numbering" w:customStyle="1" w:styleId="WWOutlineListStyle16">
    <w:name w:val="WW_OutlineListStyle_16"/>
    <w:basedOn w:val="Bezseznamu"/>
    <w:pPr>
      <w:numPr>
        <w:numId w:val="17"/>
      </w:numPr>
    </w:pPr>
  </w:style>
  <w:style w:type="numbering" w:customStyle="1" w:styleId="WWOutlineListStyle15">
    <w:name w:val="WW_OutlineListStyle_15"/>
    <w:basedOn w:val="Bezseznamu"/>
    <w:pPr>
      <w:numPr>
        <w:numId w:val="18"/>
      </w:numPr>
    </w:pPr>
  </w:style>
  <w:style w:type="numbering" w:customStyle="1" w:styleId="WWOutlineListStyle14">
    <w:name w:val="WW_OutlineListStyle_14"/>
    <w:basedOn w:val="Bezseznamu"/>
    <w:pPr>
      <w:numPr>
        <w:numId w:val="19"/>
      </w:numPr>
    </w:pPr>
  </w:style>
  <w:style w:type="numbering" w:customStyle="1" w:styleId="WWOutlineListStyle13">
    <w:name w:val="WW_OutlineListStyle_13"/>
    <w:basedOn w:val="Bezseznamu"/>
    <w:pPr>
      <w:numPr>
        <w:numId w:val="20"/>
      </w:numPr>
    </w:pPr>
  </w:style>
  <w:style w:type="numbering" w:customStyle="1" w:styleId="WWOutlineListStyle12">
    <w:name w:val="WW_OutlineListStyle_12"/>
    <w:basedOn w:val="Bezseznamu"/>
    <w:pPr>
      <w:numPr>
        <w:numId w:val="21"/>
      </w:numPr>
    </w:pPr>
  </w:style>
  <w:style w:type="numbering" w:customStyle="1" w:styleId="WWOutlineListStyle11">
    <w:name w:val="WW_OutlineListStyle_11"/>
    <w:basedOn w:val="Bezseznamu"/>
    <w:pPr>
      <w:numPr>
        <w:numId w:val="22"/>
      </w:numPr>
    </w:pPr>
  </w:style>
  <w:style w:type="numbering" w:customStyle="1" w:styleId="WWOutlineListStyle10">
    <w:name w:val="WW_OutlineListStyle_10"/>
    <w:basedOn w:val="Bezseznamu"/>
    <w:pPr>
      <w:numPr>
        <w:numId w:val="23"/>
      </w:numPr>
    </w:pPr>
  </w:style>
  <w:style w:type="numbering" w:customStyle="1" w:styleId="WWOutlineListStyle9">
    <w:name w:val="WW_OutlineListStyle_9"/>
    <w:basedOn w:val="Bezseznamu"/>
    <w:pPr>
      <w:numPr>
        <w:numId w:val="24"/>
      </w:numPr>
    </w:pPr>
  </w:style>
  <w:style w:type="numbering" w:customStyle="1" w:styleId="WWOutlineListStyle8">
    <w:name w:val="WW_OutlineListStyle_8"/>
    <w:basedOn w:val="Bezseznamu"/>
    <w:pPr>
      <w:numPr>
        <w:numId w:val="25"/>
      </w:numPr>
    </w:pPr>
  </w:style>
  <w:style w:type="numbering" w:customStyle="1" w:styleId="WWOutlineListStyle7">
    <w:name w:val="WW_OutlineListStyle_7"/>
    <w:basedOn w:val="Bezseznamu"/>
    <w:pPr>
      <w:numPr>
        <w:numId w:val="26"/>
      </w:numPr>
    </w:pPr>
  </w:style>
  <w:style w:type="numbering" w:customStyle="1" w:styleId="WWOutlineListStyle6">
    <w:name w:val="WW_OutlineListStyle_6"/>
    <w:basedOn w:val="Bezseznamu"/>
    <w:pPr>
      <w:numPr>
        <w:numId w:val="27"/>
      </w:numPr>
    </w:pPr>
  </w:style>
  <w:style w:type="numbering" w:customStyle="1" w:styleId="WWOutlineListStyle5">
    <w:name w:val="WW_OutlineListStyle_5"/>
    <w:basedOn w:val="Bezseznamu"/>
    <w:pPr>
      <w:numPr>
        <w:numId w:val="28"/>
      </w:numPr>
    </w:pPr>
  </w:style>
  <w:style w:type="numbering" w:customStyle="1" w:styleId="WWOutlineListStyle4">
    <w:name w:val="WW_OutlineListStyle_4"/>
    <w:basedOn w:val="Bezseznamu"/>
    <w:pPr>
      <w:numPr>
        <w:numId w:val="29"/>
      </w:numPr>
    </w:pPr>
  </w:style>
  <w:style w:type="numbering" w:customStyle="1" w:styleId="WWOutlineListStyle3">
    <w:name w:val="WW_OutlineListStyle_3"/>
    <w:basedOn w:val="Bezseznamu"/>
    <w:pPr>
      <w:numPr>
        <w:numId w:val="30"/>
      </w:numPr>
    </w:pPr>
  </w:style>
  <w:style w:type="numbering" w:customStyle="1" w:styleId="WWOutlineListStyle2">
    <w:name w:val="WW_OutlineListStyle_2"/>
    <w:basedOn w:val="Bezseznamu"/>
    <w:pPr>
      <w:numPr>
        <w:numId w:val="31"/>
      </w:numPr>
    </w:pPr>
  </w:style>
  <w:style w:type="numbering" w:customStyle="1" w:styleId="WWOutlineListStyle1">
    <w:name w:val="WW_OutlineListStyle_1"/>
    <w:basedOn w:val="Bezseznamu"/>
    <w:pPr>
      <w:numPr>
        <w:numId w:val="32"/>
      </w:numPr>
    </w:pPr>
  </w:style>
  <w:style w:type="numbering" w:customStyle="1" w:styleId="WWOutlineListStyle">
    <w:name w:val="WW_OutlineListStyle"/>
    <w:basedOn w:val="Bezseznamu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dni 31. 12. 2010</dc:creator>
  <cp:lastModifiedBy>Pouzarová Pavlína</cp:lastModifiedBy>
  <cp:revision>3</cp:revision>
  <cp:lastPrinted>2011-06-29T10:13:00Z</cp:lastPrinted>
  <dcterms:created xsi:type="dcterms:W3CDTF">2022-04-24T15:32:00Z</dcterms:created>
  <dcterms:modified xsi:type="dcterms:W3CDTF">2022-04-24T15:34:00Z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