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říloha v účetní závěrce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Rezidence Lib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ěchov  s.r.o.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31.12.2023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řílohy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Podle § 39 vyhlášky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500/2002 Sb.: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Popis účetní jednotky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2.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Použité obecné účetní zásady, účetní metody a odchylky od těchto metod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3.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k položkám závazkových vztahů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Výše a povaha jednotlivých položek výnosů a nákladů, které jsou mimořádné svým objemem nebo původem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5.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Průměrný počet zaměstnanců v průběhu účetního období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6.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o nabytí vlastních akcií nebo vlastních podílů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Významné události mezi rozvahovým dnem a okamžikem sestavení účetní závěrky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Název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Rezidence Lib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ěchov  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Sídlo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Lib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ěchov čp. 121, PSČ 277 21, Liběchov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Právní forma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 xml:space="preserve">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ab/>
        <w:tab/>
        <w:tab/>
        <w:tab/>
        <w:t xml:space="preserve">27094804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ředmět podnikání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 </w:t>
        <w:tab/>
        <w:tab/>
        <w:t xml:space="preserve">ubytování v hotelích a podobných ubytovacích zařízeních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Den vzniku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 xml:space="preserve">20.října 2003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ňovací období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od 1.1.2023 do 31.12.2023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Rozvahový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31.12.2023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Okamžik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13.5.2024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Osoby, které mají podstatný nebo rozhodující vliv na této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četní jednotce: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Jméno                                                      výše vkladu v %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Jana Tunysová                                           90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Jaroslav Tunys                                           10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ční struktura společnosti (popis, vč.významných změn):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čnost pracují oba společníci  a 12 zaměstnanců.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 provozuje restauraci a hotel – rezidence Lib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ěchov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Členové statutárních orgánů 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Jana Tunysová, jednatel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II. Informace o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četních metodách, obecných účetních zásadách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způsobech oceňování (pouze významné údaje)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ocenění nakupovaných zásob:</w:t>
      </w:r>
    </w:p>
    <w:p>
      <w:pPr>
        <w:tabs>
          <w:tab w:val="left" w:pos="765" w:leader="none"/>
        </w:tabs>
        <w:spacing w:before="120" w:after="0" w:line="240"/>
        <w:ind w:right="0" w:left="76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  <w:tab/>
        <w:t xml:space="preserve">zásoby nakoupené jsou ocen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ěny pořizovacími cenami, včetně  vedlejších nákladů souvisejících s pořízením (přeprava, provize,  clo, pojistné,). </w:t>
      </w:r>
    </w:p>
    <w:p>
      <w:pPr>
        <w:spacing w:before="120" w:after="0" w:line="240"/>
        <w:ind w:right="0" w:left="76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</w:t>
        <w:tab/>
        <w:t xml:space="preserve">Druhy vedlejších náklad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souvisejících s pořízením zásob, které  se zahrnují do pořizovacích cen nakupovaných zásob: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Zásoby vlastní jsou ocen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ěny vlastními náklady, tj. přímé  náklady a podíl režijních nákladů.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ocenění dlouhodobého hmotného a nehmotného majetku vytvořeného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vlastní činností:</w:t>
      </w:r>
    </w:p>
    <w:p>
      <w:pPr>
        <w:tabs>
          <w:tab w:val="left" w:pos="420" w:leader="none"/>
        </w:tabs>
        <w:spacing w:before="120" w:after="0" w:line="240"/>
        <w:ind w:right="0" w:left="4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  <w:t xml:space="preserve">dlouhodobý hmotný a nehmotný investi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ční majetek vytvořený vlastní činností  firma nemá </w:t>
      </w:r>
    </w:p>
    <w:p>
      <w:pPr>
        <w:spacing w:before="120" w:after="0" w:line="240"/>
        <w:ind w:right="0" w:left="4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  <w:t xml:space="preserve">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ůsob ocenění cenných papírů a majetkových účastí: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cenné papíry a majetkové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časti jsou oceňovány v ceně pořízení. (nemá)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opis zm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 způsobu oceňování, postupů účtování a postupů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odpisování proti minulému roku 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Beze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sestavení odpisového plánu pro investiční majetek: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Odpisy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četní se rovnají daňovým.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Použité kurzy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ři přepočtu údajů v cizích měnách na českou měnu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 průběhu účetního období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Používán denní kurz. V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ůběhu účetního období se operace účtované v cizí měně  přepočítávají podle § 24 zákona o účetnictví a zúčastňují se  hospodářského výsledku prostřednictvím účtu 563 a 663 - Kurzové  ztráty a zisky. Při roční účetní uzávěrce se k datu 31.12.  přepočte kursem dle § 24 zákona o účetnictví a zjištěné kurzové rozdíly jdou do hospodářského výsledku běžného roku..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III. Dopl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ňující informace k rozvaze a výkazu zisků a ztrát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Popis významných položek z rozvahy: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Nemovitost – zakoupena v r.2003, v r.06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čena rekonstrukce na ubytovací zařízení.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r.2011 zkolaudováno technické zhodnocení objektu (orangerie), v 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ňském roce další TZ - celk.PC  41 mil.Kč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Popis významných položek z výsledovky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říjmy z prodeje služeb, materiál, energie, mzdy, odpisy.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Významné události, které nastaly po 31.12.202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do data, kdy  byly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četní výkazy schváleny k předání mimo účetní jednotku, t.j.  k auditu, finančnímu úřadu, do výroční zprávy.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Nedošlo k podstatným událostem.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Výše splatných závazk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 pojistného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sociální zabezpečení, příspěvku na státní politiku zaměstnanosti a pojistného na veřejné zdravotní pojištění a dále výši evidovaných daňových nedoplatků u finančních orgánů.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Nejsou závazky po splatnosti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Hodnota majetku neuvedeného v rozvaze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DHIM - vybavení cca 1 mil.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Hmotný majetek zatížený zástavním právem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(povaha a forma  zajišt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ění):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automobil na úv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ěr - ručeno pořizovaným vozidlem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Majetek, jehož tržní ocen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ění je výrazně vyšší než jeho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ocenění v účetnictví: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není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řehled o  cenných papírech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 nevlastní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Finan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ční pronájem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není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ělení zisku (úhrada ztráty) minulého účetního období: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Ztráta minulého roku byla uhrazena ze zisku zisk min.let.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Penzijní závazky a závazky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ůči účetním jednotkám v konsolidačním celku a přidruženým účetním jednotkám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nemá.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Rezervy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Nejsou 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řeny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13.5.2024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#_Toc438559031" Id="docRId13" Type="http://schemas.openxmlformats.org/officeDocument/2006/relationships/hyperlink"/><Relationship TargetMode="External" Target="#_Toc438559026" Id="docRId3" Type="http://schemas.openxmlformats.org/officeDocument/2006/relationships/hyperlink"/><Relationship TargetMode="External" Target="#_Toc438559028" Id="docRId7" Type="http://schemas.openxmlformats.org/officeDocument/2006/relationships/hyperlink"/><Relationship TargetMode="External" Target="#_Toc438559030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#_Toc438559026" Id="docRId2" Type="http://schemas.openxmlformats.org/officeDocument/2006/relationships/hyperlink"/><Relationship TargetMode="External" Target="#_Toc438559028" Id="docRId6" Type="http://schemas.openxmlformats.org/officeDocument/2006/relationships/hyperlink"/><Relationship TargetMode="External" Target="#_Toc438559025" Id="docRId1" Type="http://schemas.openxmlformats.org/officeDocument/2006/relationships/hyperlink"/><Relationship TargetMode="External" Target="#_Toc438559030" Id="docRId11" Type="http://schemas.openxmlformats.org/officeDocument/2006/relationships/hyperlink"/><Relationship Target="styles.xml" Id="docRId15" Type="http://schemas.openxmlformats.org/officeDocument/2006/relationships/styles"/><Relationship TargetMode="External" Target="#_Toc438559027" Id="docRId5" Type="http://schemas.openxmlformats.org/officeDocument/2006/relationships/hyperlink"/><Relationship TargetMode="External" Target="#_Toc438559029" Id="docRId9" Type="http://schemas.openxmlformats.org/officeDocument/2006/relationships/hyperlink"/><Relationship TargetMode="External" Target="#_Toc438559025" Id="docRId0" Type="http://schemas.openxmlformats.org/officeDocument/2006/relationships/hyperlink"/><Relationship TargetMode="External" Target="#_Toc438559031" Id="docRId12" Type="http://schemas.openxmlformats.org/officeDocument/2006/relationships/hyperlink"/><Relationship TargetMode="External" Target="#_Toc438559027" Id="docRId4" Type="http://schemas.openxmlformats.org/officeDocument/2006/relationships/hyperlink"/><Relationship TargetMode="External" Target="#_Toc438559029" Id="docRId8" Type="http://schemas.openxmlformats.org/officeDocument/2006/relationships/hyperlink"/></Relationships>
</file>