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9072"/>
      </w:tblGrid>
      <w:tr>
        <w:trPr>
          <w:trHeight w:val="1002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4f81bd" w:sz="4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P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říloha v účetní závěrce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60"/>
                <w:shd w:fill="auto" w:val="clear"/>
              </w:rPr>
              <w:t xml:space="preserve">ve zkráceném rozsahu</w:t>
            </w:r>
          </w:p>
        </w:tc>
      </w:tr>
      <w:tr>
        <w:trPr>
          <w:trHeight w:val="720" w:hRule="auto"/>
          <w:jc w:val="left"/>
        </w:trPr>
        <w:tc>
          <w:tcPr>
            <w:tcW w:w="9072" w:type="dxa"/>
            <w:tcBorders>
              <w:top w:val="single" w:color="4f81bd" w:sz="4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40"/>
                <w:shd w:fill="auto" w:val="clear"/>
              </w:rPr>
              <w:t xml:space="preserve">Korporace Restaurace Kaskáda, s.r.o.</w:t>
            </w:r>
          </w:p>
        </w:tc>
      </w:tr>
      <w:tr>
        <w:trPr>
          <w:trHeight w:val="8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30"/>
                <w:shd w:fill="auto" w:val="clear"/>
              </w:rPr>
              <w:t xml:space="preserve">ke dni 31.12.2023</w:t>
            </w:r>
          </w:p>
        </w:tc>
      </w:tr>
      <w:tr>
        <w:trPr>
          <w:trHeight w:val="360" w:hRule="auto"/>
          <w:jc w:val="left"/>
        </w:trPr>
        <w:tc>
          <w:tcPr>
            <w:tcW w:w="90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Obsah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řílohy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Podle § 39 vyhlášky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č. 500/2002 Sb.:</w:t>
      </w: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1.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Popis účetní jednotky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2.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Použité obecné účetní zásady, účetní metody a odchylky od těchto metod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3.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5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k položkám závazkových vztahů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6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4.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7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Výše a povaha jednotlivých položek výnosů a nákladů, které jsou mimořádné svým objemem nebo původem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8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5.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9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Průměrný počet zaměstnanců v průběhu účetního období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0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6.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1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Informace o nabytí vlastních akcií nebo vlastních podílů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hyperlink xmlns:r="http://schemas.openxmlformats.org/officeDocument/2006/relationships" r:id="docRId12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7.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</w:r>
      <w:hyperlink xmlns:r="http://schemas.openxmlformats.org/officeDocument/2006/relationships" r:id="docRId13">
        <w:r>
          <w:rPr>
            <w:rFonts w:ascii="Calibri" w:hAnsi="Calibri" w:cs="Calibri" w:eastAsia="Calibri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Významné události mezi rozvahovým dnem a okamžikem sestavení účetní závěrky</w:t>
        </w:r>
      </w:hyperlink>
    </w:p>
    <w:p>
      <w:pPr>
        <w:tabs>
          <w:tab w:val="left" w:pos="660" w:leader="none"/>
          <w:tab w:val="right" w:pos="9062" w:leader="dot"/>
        </w:tabs>
        <w:suppressAutoHyphens w:val="true"/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Popis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Název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Restaurace Kaskáda, s.r.o.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Sídlo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  <w:tab/>
        <w:t xml:space="preserve">Pod Kostelí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čkem  121, PSČ 277 21, Liběchov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Právní forma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ab/>
        <w:tab/>
        <w:tab/>
        <w:tab/>
        <w:t xml:space="preserve">27608905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ředmět podnikání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 </w:t>
        <w:tab/>
        <w:tab/>
        <w:t xml:space="preserve">hostinská činnost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Den vzniku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jednotky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Zda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období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od 1.1.2023 do 31.12.2023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Rozvahový den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</w:t>
        <w:tab/>
        <w:tab/>
        <w:tab/>
        <w:t xml:space="preserve">31.12.2023</w:t>
      </w:r>
    </w:p>
    <w:p>
      <w:pPr>
        <w:suppressAutoHyphens w:val="true"/>
        <w:spacing w:before="0" w:after="0" w:line="240"/>
        <w:ind w:right="0" w:left="708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Okamžik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</w:t>
        <w:tab/>
        <w:t xml:space="preserve">27.4.2024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Použité obecné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zásady, účetní metody a odchylky od těchto metod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dle zákona o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četnictví a vyhlášky č.500/2002 Sb., bez odchylek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Použité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metody</w:t>
      </w: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metoda B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čtování zásob 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odchylkách od metod podle § 7 odst. 5 zákona o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četnictví s uvedením jejich vlivu na majetek a závazky, na finanční situaci a výsledek hospodaření účetní jednotky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použity žádné odchylky od metod dle zákona o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četnictví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oceňování majetku a závazků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řizovací cena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stanovení úprav hodnot majetku (odpisy a opravné položky)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odpisy - ú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četní odpisy se rovnají daňovým, opravné položky dle platných účetních předpisů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ůsob přepočtu údajů v cizích měnách na českou měnu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denní kurz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ČNB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Stanovení reálné hodnoty majetku a závazk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hodnota majetku a závazk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je oceňována pořizovací cenou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Použitý oce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ňovací model a technika při ocenění reálnou hodnotou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firma nepoužívá ocen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ění reálnou hodnotou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k položkám závazkových vztah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</w:t>
      </w:r>
    </w:p>
    <w:p>
      <w:pPr>
        <w:numPr>
          <w:ilvl w:val="0"/>
          <w:numId w:val="24"/>
        </w:num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k rozvahovému dni mají dobu splatnosti delší než 5 let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které jsou kryty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ěcnými zárukami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Zálohy, závdavky, záp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ůjčky a úvěry poskytnuté členům řídících, kontrolních a případně správních orgánů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nebyly poskytnuty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Závazkové vztahy (pohledávky a dluhy), podmín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ěné závazkové vztahy a poskytnuté věcné záruky, které nejsou vykázány v rozvaze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624" w:hanging="62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Penzijní závazky a závazky 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ůči účetním jednotkám v konsolidačním celku a přidruženým účetním jednotkám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nejsou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Výše a povaha jednotlivých položek výnos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 a nákladů, které jsou mimořádné svým objemem nebo původem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všechny náklady a výnosy souvisejí pouze s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ěžnou činností firmy, firma nevyvíjela v r.2023 žádnou činnost, náklady jsou pouze za sestavení přiznání k dani z příjmů.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ůměrný přepočtený počet zaměstnanců v průběhu účetního období 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 firmu pracoval pouze jednatel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Informace o nabytí vlastních akcií nebo vlastních podíl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ů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</w:t>
      </w:r>
    </w:p>
    <w:p>
      <w:pPr>
        <w:numPr>
          <w:ilvl w:val="0"/>
          <w:numId w:val="24"/>
        </w:num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240"/>
        <w:ind w:right="0" w:left="3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Významné události mezi rozvahovým dnem a okamžikem sestavení 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četní závěrky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Nedošlo k významným událostem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Sestaveno dne: 27.4.2024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Sestavil: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1">
    <w:abstractNumId w:val="6"/>
  </w:num>
  <w:num w:numId="2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#_Toc438559031" Id="docRId13" Type="http://schemas.openxmlformats.org/officeDocument/2006/relationships/hyperlink"/><Relationship TargetMode="External" Target="#_Toc438559026" Id="docRId3" Type="http://schemas.openxmlformats.org/officeDocument/2006/relationships/hyperlink"/><Relationship TargetMode="External" Target="#_Toc438559028" Id="docRId7" Type="http://schemas.openxmlformats.org/officeDocument/2006/relationships/hyperlink"/><Relationship TargetMode="External" Target="#_Toc438559030" Id="docRId10" Type="http://schemas.openxmlformats.org/officeDocument/2006/relationships/hyperlink"/><Relationship Target="numbering.xml" Id="docRId14" Type="http://schemas.openxmlformats.org/officeDocument/2006/relationships/numbering"/><Relationship TargetMode="External" Target="#_Toc438559026" Id="docRId2" Type="http://schemas.openxmlformats.org/officeDocument/2006/relationships/hyperlink"/><Relationship TargetMode="External" Target="#_Toc438559028" Id="docRId6" Type="http://schemas.openxmlformats.org/officeDocument/2006/relationships/hyperlink"/><Relationship TargetMode="External" Target="#_Toc438559025" Id="docRId1" Type="http://schemas.openxmlformats.org/officeDocument/2006/relationships/hyperlink"/><Relationship TargetMode="External" Target="#_Toc438559030" Id="docRId11" Type="http://schemas.openxmlformats.org/officeDocument/2006/relationships/hyperlink"/><Relationship Target="styles.xml" Id="docRId15" Type="http://schemas.openxmlformats.org/officeDocument/2006/relationships/styles"/><Relationship TargetMode="External" Target="#_Toc438559027" Id="docRId5" Type="http://schemas.openxmlformats.org/officeDocument/2006/relationships/hyperlink"/><Relationship TargetMode="External" Target="#_Toc438559029" Id="docRId9" Type="http://schemas.openxmlformats.org/officeDocument/2006/relationships/hyperlink"/><Relationship TargetMode="External" Target="#_Toc438559025" Id="docRId0" Type="http://schemas.openxmlformats.org/officeDocument/2006/relationships/hyperlink"/><Relationship TargetMode="External" Target="#_Toc438559031" Id="docRId12" Type="http://schemas.openxmlformats.org/officeDocument/2006/relationships/hyperlink"/><Relationship TargetMode="External" Target="#_Toc438559027" Id="docRId4" Type="http://schemas.openxmlformats.org/officeDocument/2006/relationships/hyperlink"/><Relationship TargetMode="External" Target="#_Toc438559029" Id="docRId8" Type="http://schemas.openxmlformats.org/officeDocument/2006/relationships/hyperlink"/></Relationships>
</file>